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p>
      <w:r>
        <w:t xml:space="preserve">AÇÃO DE CUMPRIMENTO — SUA ILEGITIMIDADE</w:t>
      </w:r>
    </w:p>
    <w:p/>
    <w:p>
      <w:pPr>
        <w:pStyle w:val="Heading2"/>
      </w:pPr>
      <w:r>
        <w:rPr>
          <w:b/>
          <w:bCs/>
        </w:rPr>
        <w:t xml:space="preserve">Ementa</w:t>
      </w:r>
    </w:p>
    <w:p>
      <w:r>
        <w:t xml:space="preserve">A federação não tem legitimidade para ajuizar a ação de cumprimento prevista no art. 872, parágrafo único, da CLT na qualidade de substituto processual da categoria profissional inorganizada. Sala de Sessões, 04 de dezembro de 1997. DJ nº 246, de 19 DEZ 1997, pág. 67.787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2026-07-28T04:24:38.953Z</dcterms:created>
  <dcterms:modified xsi:type="dcterms:W3CDTF">2026-07-28T04:24:38.953Z</dcterms:modified>
</cp:coreProperties>
</file>

<file path=docProps/custom.xml><?xml version="1.0" encoding="utf-8"?>
<Properties xmlns="http://schemas.openxmlformats.org/officeDocument/2006/custom-properties" xmlns:vt="http://schemas.openxmlformats.org/officeDocument/2006/docPropsVTypes"/>
</file>