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Recurso: </w:t>
      </w:r>
      <w:r>
        <w:t xml:space="preserve">RE 23.217</w:t>
      </w:r>
    </w:p>
    <w:p/>
    <w:p>
      <w:r>
        <w:t xml:space="preserve">FALTAS CONSEQÜENTES — SE SÃO DESCONTÁVEIS DO PERÍODO AQUISITIVO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ausências motivadas por acidente do trabalho não são descontáveis do período aquisitivo das férias. Referência: CLT, artigos 132, a, e 134 RE 23.217, de 21.12.54; RE 48.486, de 10.04.62; RE 51.577, de 13.11.62 (D.J. de 04.04.63, p. 143); RE 48.417, de 26.06.62 (D.J. de 16.11.62, p. 715). ERE 46.640, de 19.06.61. Aprovada em Sessão de 13-12-1963 - pág. 99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2026-07-28T01:32:33.811Z</dcterms:created>
  <dcterms:modified xsi:type="dcterms:W3CDTF">2026-07-28T01:32:33.811Z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