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23.217</w:t>
      </w:r>
    </w:p>
    <w:p/>
    <w:p>
      <w:r>
        <w:t xml:space="preserve">FALTAS CONSEQÜENTES — SE SÃO DESCONTÁVEIS DO PERÍODO AQUISITIVO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ausências motivadas por acidente do trabalho não são descontáveis do período aquisitivo das férias. Referência: CLT, artigos 132, a, e 134 RE 23.217, de 21.12.54; RE 48.486, de 10.04.62; RE 51.577, de 13.11.62 (D.J. de 04.04.63, p. 143); RE 48.417, de 26.06.62 (D.J. de 16.11.62, p. 715). ERE 46.640, de 19.06.61. Aprovada em Sessão de 13-12-1963 - pág. 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2026-10-16T17:21:03.962Z</dcterms:created>
  <dcterms:modified xsi:type="dcterms:W3CDTF">2026-10-16T17:21:03.962Z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