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FUNDO DE GARANTIA</w:t>
      </w:r>
    </w:p>
    <w:p>
      <w:r>
        <w:rPr>
          <w:i/>
          <w:iCs/>
          <w:color w:val="666666"/>
        </w:rPr>
        <w:t xml:space="preserve">AVISO PRÉVIO E FÉRIAS INDENIZADOS</w:t>
      </w:r>
    </w:p>
    <w:p/>
    <w:p/>
    <w:p>
      <w:r>
        <w:t xml:space="preserve">SE REDUZEM O PERÍODO RESPECTIVO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 as faltas já são justificadas pela lei, consideram-se como ausências legais e não serão descontadas para o cálculo do período de férias. Aprovado pela Resolução Administrativa nº 69/78, de 19.09.78. Publicado no Diário da Justiça de 26.09.78. Precedentes no EMFOR nºs 249, 260, 265, 294, 301 e 357.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2026-07-28T03:43:47.813Z</dcterms:created>
  <dcterms:modified xsi:type="dcterms:W3CDTF">2026-07-28T03:43:47.813Z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