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FUNDO DE GARANTIA</w:t>
      </w:r>
    </w:p>
    <w:p>
      <w:r>
        <w:rPr>
          <w:i/>
          <w:iCs/>
          <w:color w:val="666666"/>
        </w:rPr>
        <w:t xml:space="preserve">AVISO PRÉVIO E FÉRIAS INDENIZADOS</w:t>
      </w:r>
    </w:p>
    <w:p/>
    <w:p/>
    <w:p>
      <w:r>
        <w:t xml:space="preserve">SE LHES ASSISTE O DIREITO À MESMA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Chefe de trem, regido pelo Estatuto dos Ferroviários (Decreto nº 35.530, de 19.09.59), não tem direito à gratificação prevista no respectivo artigo 110. Aprovado pela Resolução Administrativa nº 08/77, de 07.02.77. Publicado no Diário da Justiça de 11.02.77, pág. 742.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2026-10-16T17:13:16.566Z</dcterms:created>
  <dcterms:modified xsi:type="dcterms:W3CDTF">2026-10-16T17:13:16.566Z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