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INCIDENTE DE FALSIDADE</w:t>
      </w:r>
    </w:p>
    <w:p>
      <w:r>
        <w:rPr>
          <w:i/>
          <w:iCs/>
          <w:color w:val="666666"/>
        </w:rPr>
        <w:t xml:space="preserve">INTIMAÇÃO PESSOAL DA PARTE</w:t>
      </w:r>
    </w:p>
    <w:p/>
    <w:p/>
    <w:p>
      <w:r>
        <w:t xml:space="preserve">DECRETAÇÃO — NECESSIDADE DE PRÉVIA INTIMAÇÃO PESSOAL DA PARTE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Efetivamente há a contrariedade argüida, porquanto não foi a autora intimada para suprir a falta de impulso processual, ineficaz a intimação feita a seu advogado, ao qual não se conferiram senão poderes postulacionais. - Devidamente comprovado o dissídio jurisprudencial que, aliás, é daqueles cercado de notoriedade. - Isto posto, voto no sentido de conhecer do recurso e lhe dar provimento, para modificar o acórdão e dar provimento à apelação, de sorte a anular a sentença apelada, para que tenha curso o processo. Ac. de 26-04-1993 DJU 24-5-1993 Revista dos Tribunais - Abril de 1994 - Vol. 702 - Pág. 203 EMFOR 553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cabe extinguir o processo, nas hipóteses do art. 267, II e III, sem a prévia intimação pessoal da parte, para suprir a omissão.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2026-06-17T17:46:34.721Z</dcterms:created>
  <dcterms:modified xsi:type="dcterms:W3CDTF">2026-06-17T17:46:34.721Z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