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/>
    <w:p>
      <w:r>
        <w:t xml:space="preserve">JUSTIÇA DO TRABALHO — AUTORIZAÇÃO - QUANDO TEM COMPETÊNCIA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Justiça do Trabalho só tem competência para autorizar o levantamento do depósito do Fundo de Garantia do Tempo de Serviço na ocorrência de dissídio entre empregado e empregador e após o trânsito em julgado da sentença (Ex-Prejulgado, nº 57).(Cancelada pela Resolução 130/05. DJ de 13-05-2005) N. da R.: Ver o t. RESOLUÇÃO, st. Nº 130/05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2026-07-28T01:23:03.728Z</dcterms:created>
  <dcterms:modified xsi:type="dcterms:W3CDTF">2026-07-28T01:23:03.728Z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