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MOACIR R</w:t>
      </w:r>
    </w:p>
    <w:p/>
    <w:p>
      <w:r>
        <w:t xml:space="preserve">SAQUES HAVIDOS NA VIGÊNCIA DO CONTRATO — DESCONSIDERAÇÃO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a multa de 40% sobre o FGTS incide sobre os valores sacados no curso do contrato laboral. - Os Autores alegam que perceberam a referida multa apenas sobre o saldo existente em suas contas vinculadas do FGTS, na data das respectivas rescisões, sem observância dos saques efetuados durante a vigência dos contratos de trabalho para a aquisição de moradia e amortização de dívida junto ao Sistema Financeiro Habitacional. - Sem razão a Embargante quando sustenta que a multa seria incidente somente sobre o "quantum" da conta no momento da rescisão contratual, sem o cômputo das parcelas sacadas no decurso do vínculo empregatício. - O art. 6º, "caput", da Lei nº 5.107/66, bem como o art. 18, § 1º, da Lei nº 8.036/90, aplicáveis em face do que dispõe o art. 10, inciso I, do ADCT, determinam que, na despedida sem justa causa, o empregador pagará a multa de 10%, atuais 40%, sobre o montante de todos os depósitos do FGTS realizados na conta vinculada durante a vigência de todo o pacto laboral; atualizados com correção monetária e juros na forma da lei. - Tampouco se evidencia a ofensa ao art. 9º, § 1º, do Decreto nº 99.684/90, editado em 8 de novembro de 1990, porquanto o referido dispositivo legal não era vigente na época da rescisão do contrato. - Ademais, a interpretação literal dos citados textos legais demonstra que os depósitos, a correção e os juros tomados como base de cálculo da multa são os correspondentes ao período de trabalho na empresa, ou seja, a totalidade dos depósi tos efetuados. Concluir em contrário não teria sentido, pois o legislador estaria impondo uma sanção, no caso, a multa e, ao mesmo tempo, criando mecanismos para esvaziá-la ao permitir a dedução da correção sobre os saques efetuados. - Existe precedente atual da SDI neste sentido: E-RR-77.660/93, Ac. 3.552/96, DJ 16/8/96, Rel. Ministro MOACIR R. TESCH AUERSVALD. - Pelo exposto, NEGO PROVIMENTO. Ac. SBDI1-515/95 Arquivo do EMFOR, TST/N1200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literal do art. 6º, "caput", da Lei nº 5.107/66, bem como do art. 18, § 1º, da Lei nº 8.036/90 demonstra que os depósitos, a correção e os juros tomados como base de cálculo da multa são os correspondentes ao período de trabalho na empresa, ou seja, a totalidade dos depósitos efetuados, não sendo deduzidos os saques ocorridos para aquisição da casa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2026-10-16T16:29:49.972Z</dcterms:created>
  <dcterms:modified xsi:type="dcterms:W3CDTF">2026-10-16T16:29:49.972Z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