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16/06/1986</w:t>
      </w:r>
    </w:p>
    <w:p/>
    <w:p>
      <w:r>
        <w:t xml:space="preserve">TEMPO DE SERVIÇO ANTERIOR A ESTA — REGÊNCIA PELA CLT - EFEITOS NO CASO DE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MÉRITO - O direito à indenização pelo tempo de serviço anterior a opção é regido pela CLT em seu Art. 477, donde se conclui que, tendo sido a aposentadoria do empregado ato volitivo, de sua exclusiva iniciativa, não faz ele jus à parcela pleiteada. - Dou, pois, provimento ao recurso de revista, "data venia", do parecer da douta Procuradoria Geral para julgar improcedente a reclamação. Proc. TST-RR-0.163/85.6, Julgado em 17-6-1986. Arquivo do EMFOR, TST/1.960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indenização pelo tempo de serviço anterior à opção é regido pela Consolidação das Leis do Trabalho em seu artigo 477, donde se conclui que, tendo sido a aposentadoria do empregado ato volitivo de sua exclusiva iniciativa, não faz ele jus à parcela pleiteada.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2026-07-28T03:43:46.692Z</dcterms:created>
  <dcterms:modified xsi:type="dcterms:W3CDTF">2026-07-28T03:43:46.692Z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