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16/06/1986</w:t>
      </w:r>
    </w:p>
    <w:p/>
    <w:p>
      <w:r>
        <w:t xml:space="preserve">TEMPO DE SERVIÇO ANTERIOR A ESTA — REGÊNCIA PELA CLT - EFEITOS NO CASO DE APOSENTADORIA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MÉRITO - O direito à indenização pelo tempo de serviço anterior a opção é regido pela CLT em seu Art. 477, donde se conclui que, tendo sido a aposentadoria do empregado ato volitivo, de sua exclusiva iniciativa, não faz ele jus à parcela pleiteada. - Dou, pois, provimento ao recurso de revista, "data venia", do parecer da douta Procuradoria Geral para julgar improcedente a reclamação. Proc. TST-RR-0.163/85.6, Julgado em 17-6-1986. Arquivo do EMFOR, TST/1.960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à indenização pelo tempo de serviço anterior à opção é regido pela Consolidação das Leis do Trabalho em seu artigo 477, donde se conclui que, tendo sido a aposentadoria do empregado ato volitivo de sua exclusiva iniciativa, não faz ele jus à parcela pleiteada.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2026-10-16T16:10:58.732Z</dcterms:created>
  <dcterms:modified xsi:type="dcterms:W3CDTF">2026-10-16T16:10:58.732Z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