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DISPENSA SEM JUSTA CAUSA</w:t>
      </w:r>
    </w:p>
    <w:p/>
    <w:p/>
    <w:p>
      <w:r>
        <w:t xml:space="preserve">RECLAMAÇÃO DAS PARCELAS NÃO RECOLHIDAS — PRAZO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Extinto o contrato de trabalho, é de dois anos o prazo prescricional para reclamar em Juízo o não-recolhimento da contribuição do Fundo de Garantia do Tempo de Serviço. Sala de Sessões, 26 de agosto de 1999 DJ 171 DE 06-09-1999 - PÁG. 01 EMFOR 610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2026-07-28T01:32:22.295Z</dcterms:created>
  <dcterms:modified xsi:type="dcterms:W3CDTF">2026-07-28T01:32:22.295Z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