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ESTABILIDADE PROVISÓRIA</w:t>
      </w:r>
    </w:p>
    <w:p>
      <w:r>
        <w:rPr>
          <w:i/>
          <w:iCs/>
          <w:color w:val="666666"/>
        </w:rPr>
        <w:t xml:space="preserve">CONVENÇÃO COLETIVA</w:t>
      </w:r>
    </w:p>
    <w:p/>
    <w:p>
      <w:r>
        <w:rPr>
          <w:b/>
          <w:bCs/>
        </w:rPr>
        <w:t xml:space="preserve">Tribunal: </w:t>
      </w:r>
      <w:r>
        <w:t xml:space="preserve">TST</w:t>
      </w:r>
    </w:p>
    <w:p/>
    <w:p>
      <w:r>
        <w:t xml:space="preserve">DISPENSA ANTES DE SEIS SEMANAS — DIREITO AO SALÁRIO MATERNIDADE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Conhecido o recurso por desrespeito ao verbete nº 142, dou-lhe provimento para condenar a reclamada ao pagamento do salário-maternidade. Proc. TST-RR-6796/89, Ac. de 27-08-1990 Arquivo do EMFOR - TST/2.990 EMFOR 530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Empregada gestante, dispensada, sem motivo antes do período de seis semanas anteriores ao parto, tem direito à percepção do salário-maternidade.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2026-07-28T01:22:59.983Z</dcterms:created>
  <dcterms:modified xsi:type="dcterms:W3CDTF">2026-07-28T01:22:59.983Z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