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/>
    <w:p>
      <w:r>
        <w:t xml:space="preserve">A gratificação instituída pela Lei nº 4.090, de 1962, é devida na resilição contratual de iniciativa do empregado (Ex-Prejulgado, nº 32).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antigüidade, pago pela FEPASA, calcula-se sobre o salário-base. Aprovado pela Resolução Administrativa nº 69/78, de 19.09.78. Publicado no Diário da Justiça de 26.09.78. Precedentes no EMFOR nºs 330 e 345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2026-07-28T01:35:01.284Z</dcterms:created>
  <dcterms:modified xsi:type="dcterms:W3CDTF">2026-07-28T01:35:01.284Z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