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GRATIFICAÇÃO SEMESTRAL</w:t>
      </w:r>
    </w:p>
    <w:p>
      <w:r>
        <w:rPr>
          <w:i/>
          <w:iCs/>
          <w:color w:val="666666"/>
        </w:rPr>
        <w:t xml:space="preserve">AVISO PRÉVIO E FÉRIAS</w:t>
      </w:r>
    </w:p>
    <w:p/>
    <w:p/>
    <w:p>
      <w:r>
        <w:t xml:space="preserve">SERVIDORES QUE EFETUAM PAGAMENTO E RECOLHIMENTO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23 da Lei nº 4.927/65 instituiu a gratificação de quebra-de-caixa para os servidores que efetuam pagamentos e recolhimentos. O A., não exercente do cargo de Assistente Executivo do Diretor Financeiro, certamente não se enquadra dentre aqueles servidores contemplados com a vantagem. As atividades relatadas pelas testemunhas (liberação de verbas, possibilidade de eventual responsabilização pela emissão equivocada de cheques) não guardam qualquer similitude com aquelas idealizadas pelo legislador, ao criar a aludida gratificação. O A. detinha cargo de direção na empresa e nunca trabalhou na tesouraria, fazendo pagamentos ou recolhimentos em sentido estrito. - Ademais, a quebra-de-caixa, embora referida na lei como "gratificação", possui natureza indenizatória. Destina-se a preservar a intangibilidade salarial daqueles empregados que, compelidos a trabalhar no trato diário com numerário, correm o risco de, independentemente de culpa, serem compelidos a cobrir eventuais diferenças de caixa. - Certamente, não era esta a situação do autor. Ac. de 25-03-1996 DORS 06-05-96 Arquivo do EMFOR S00101/TRT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Vantagem estabelecida por lei com o notório intuito de preservar a intangibilidade salarial dos trabalhadores compelidos ao trato habitual com numerário, compelidos a cobrir eventuais diferenças de caixa, independentemente de culpa. Espécie em que o A. exercente de cargo de direção na empresa certamente não se enquadra dentre tais trabalhadores. Recurso provido.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2026-07-28T03:30:13.905Z</dcterms:created>
  <dcterms:modified xsi:type="dcterms:W3CDTF">2026-07-28T03:30:13.905Z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