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GRATIFICAÇÃO SEMESTRAL</w:t>
      </w:r>
    </w:p>
    <w:p>
      <w:r>
        <w:rPr>
          <w:i/>
          <w:iCs/>
          <w:color w:val="666666"/>
        </w:rPr>
        <w:t xml:space="preserve">AVISO PRÉVIO E FÉRIAS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HABITUALIDADE — QUANDO SE VERIFICA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entendimento prevalente de que a repetição do pagamento da gratificação caracteriza o ajuste tácito, fazendo com que se integre ao pacto laboral e, consequentemente, assuma o caráter salarial e sofra os reajustes determinados em lei. Trata-se de parcela que a teor do disposto no artigo 457 da CLT integra o salário. Proc. TST-RR-9.500/85, ac. de 03-09-1986 Arquivo do EMFOR, TST/1.991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parcelas de cunho nitidamente salarial, como a gratificação de função paga de forma reiterada, integram o salário e, de consequência, devem sofrer os reajustes determinados em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2026-07-28T01:24:42.013Z</dcterms:created>
  <dcterms:modified xsi:type="dcterms:W3CDTF">2026-07-28T01:24:42.013Z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