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Julgado em: </w:t>
      </w:r>
      <w:r>
        <w:t xml:space="preserve">13/02/1985</w:t>
      </w:r>
    </w:p>
    <w:p/>
    <w:p>
      <w:r>
        <w:t xml:space="preserve">QUANDO ESTÁ EXCLUÍDA DO JUÍZO DA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razão está como MM. Juiz suscitante. Cuidava-se de ação declaratória proposta e em curso antes da quebra cingindo-se o libelo a declaração da inexistência de uma relação jurídica da responsabilidade da autora; tal querela não está no elenco das que impõe o Juízo universal, por força da exceção disposta no § 3º do art. 7º da Lei de Falências. Assim e nos termos do lúcido parecer da douta Procuradoria-Geral da Justiça a ação em exame deve ter prosseguimento no Juízo de origem. Daí a procedência do conflito dando-se por competente o MM. Juiz suscitado. Esta, aliás, a orientação desta E. Câmara em hipóteses iguais. ... . Julgado em 14-02-1985 Revista dos Tribunais. Maio, 1985 - Vol. 595 - Pág. 63 EMFOR 450 EMENTA: - Para fundamentar a revocatória não é preciso demonstrar a fraude, quer do falido, quer do terceiro que com ele contratar, sendo suficiente a constatação de prejuízo para a massa de credores, conseqüente do contrato. RESUMO DO ACÓRDÃO: - Sobre a existência de fraude, é sabido que o "eventus damni" existe quando o ato praticado pelo devedor, em processo falimentar, concorre para diminuir e, sobretudo, frustrar as garantias aos credores. O "consilium fraudis" - intenção de prejudicar - reside na consciência que tem o devedor de que o ato a ser executado por ele poderá prejudicar os credores. Para fundamentar a revocatória não é preciso demonstrar a fraude, quer do falido, quer do terceiro que com ele contratou, sendo suficiente a constatação de prejuízo para a massa de credores, conseqüente do contrato. - Induvidosamente, ante o conjunto probatório dos autos, a falida e a primeira ré (representada pela segunda) praticaram ato que resultou em prejuízo a credores, pois a transferência da linha telefônica se deu dentro do termo legal da falência, sendo aplicáveis as disposições contidas nos arts. 52. VIII, e 149, parágrafo único, ambos do Dec.-lei nº 7.661/45. "A ineficácia dos atos enumerados neste artigo não pode ser declarada de plano pelo juiz. Só em ação revocatória" (RT, 593/203). - Com estes fundamentos, nego provimento aos recursos. Ac. de 25-04-1995 Jurisprudência Mineira - Abril à Setembro de 1995 - Vol. 132/133 - Pág. 249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7º, § 3º, da Lei de Falências. - Tratando-se de ação declaratória proposta e em curso antes da quebra, cingindo-se o libelo à declaração da inexistência de uma relação jurídica da responsabilidade da autora, tal querela não está no elenco das que impõe o juízo universal, por força na exceção disposta no § 3º do artigo 7º da Lei de Falências, devendo a ação ter prosseguimento no juízo de origem.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2026-09-10T23:18:41.711Z</dcterms:created>
  <dcterms:modified xsi:type="dcterms:W3CDTF">2026-09-10T23:18:41.711Z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