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05/05/1986</w:t>
      </w:r>
    </w:p>
    <w:p/>
    <w:p>
      <w:r>
        <w:t xml:space="preserve">A GRATIFICAÇÃO POR TEMPO DE SERVIÇO INTEGRA O SALÁRIO PARA TODOS OS EFEITOS LEGAIS.
Resolução Administrativa nº 9 — D.J.U. de 11-7-85.
EMFOR 442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a matéria não suscita mais dúvida, à luz do Enunciado nº 203 da Súmula, segundo a qual os adicionais por tempo de serviço integram o salário para todos os efeitos legais. - Ora, o que pretende o Autor é justamente essa integração no cômputo das horas extraordinárias, o que, obviamente nada tem a ver com a objeção lançada no v. acórdão recorrido ao referir-se ao risco da equiparação salarial. - Dou provimento ao recurso, em parte, para reconhecer ao Reclamante o direito ao cômputo do adicional de tempo de serviço no cálculo das horas extraordinárias. VENCIDO O MINISTRO JOÃO WAGNER. Arquivo do EMFOR, TST/1.972 Proc. TST-RR-6.307/85.1, Julgado em 06-05-1986 (*) "A gratificação por tempo de serviço integra o salário para todos os efeitos legais." ("EMFOR", Nº 442).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gratificação de tempo de serviço retribui a prestação de serviços correspondente à jornada normal, torna-se lógico que, integrando o salário para todos os efeitos legais, seja também computado nos cálculos das excedentes àquela jornada.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2026-10-16T17:25:52.910Z</dcterms:created>
  <dcterms:modified xsi:type="dcterms:W3CDTF">2026-10-16T17:25:52.910Z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