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GRATIFICAÇÃO SEMESTRAL</w:t>
      </w:r>
    </w:p>
    <w:p>
      <w:r>
        <w:rPr>
          <w:i/>
          <w:iCs/>
          <w:color w:val="666666"/>
        </w:rPr>
        <w:t xml:space="preserve">AVISO PRÉVIO E FÉRIAS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05/05/1986</w:t>
      </w:r>
    </w:p>
    <w:p/>
    <w:p>
      <w:r>
        <w:t xml:space="preserve">A GRATIFICAÇÃO POR TEMPO DE SERVIÇO INTEGRA O SALÁRIO PARA TODOS OS EFEITOS LEGAIS.
Resolução Administrativa nº 9 — D.J.U. de 11-7-85.
EMFOR 442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 a matéria não suscita mais dúvida, à luz do Enunciado nº 203 da Súmula, segundo a qual os adicionais por tempo de serviço integram o salário para todos os efeitos legais. - Ora, o que pretende o Autor é justamente essa integração no cômputo das horas extraordinárias, o que, obviamente nada tem a ver com a objeção lançada no v. acórdão recorrido ao referir-se ao risco da equiparação salarial. - Dou provimento ao recurso, em parte, para reconhecer ao Reclamante o direito ao cômputo do adicional de tempo de serviço no cálculo das horas extraordinárias. VENCIDO O MINISTRO JOÃO WAGNER. Arquivo do EMFOR, TST/1.972 Proc. TST-RR-6.307/85.1, Julgado em 06-05-1986 (*) "A gratificação por tempo de serviço integra o salário para todos os efeitos legais." ("EMFOR", Nº 442). EMFOR 459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gratificação de tempo de serviço retribui a prestação de serviços correspondente à jornada normal, torna-se lógico que, integrando o salário para todos os efeitos legais, seja também computado nos cálculos das excedentes àquela jornada.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2026-07-28T04:31:43.680Z</dcterms:created>
  <dcterms:modified xsi:type="dcterms:W3CDTF">2026-07-28T04:31:43.680Z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