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TRIBUNAL SUPERIOR DO TRABALHO</w:t>
      </w:r>
    </w:p>
    <w:p>
      <w:r>
        <w:rPr>
          <w:i/>
          <w:iCs/>
          <w:color w:val="666666"/>
        </w:rPr>
        <w:t xml:space="preserve">PRECEDENTES NORMATIVOS</w:t>
      </w:r>
    </w:p>
    <w:p/>
    <w:p/>
    <w:p>
      <w:r>
        <w:t xml:space="preserve">CONDENAÇÃO — ADMISSIBILIDADE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d. Ministério Público, entendendo que houve intenção por parte do autor, em alterar os fatos, opina pela sua punição, em virtude da má-fé, nos termos do artigo 18 do CPC. - Atentando-se que o artigo 17, inciso II, do CPC, reputa como litigante de má-fé aquele que altera a verdade dos fatos, imperioso é considerar o autor como tal, posto que, ao afirmar que esteve presente na 1ª JCJ no dia 15.03.91, e que após informação recebida naquela JCJ, de que a audiência havia sido adiada, foi embora sem participar da mesma; faltou com a verdade de que se fez presente naquela audiência, conforme faz prova a Ata de audiência acostada aos presentes autos. - Assim, se o autor alterou intencionalmente a verdade dos fatos, incide na pecha do art. 17, inciso II, do CPC e deverá ser considerado litigante de má-fé, bem como condenado ao pagamento das despesas processuais, nelas compreendidos os honorários advocatícios. Ac. de 07-12-1994 Arquivo do EMFOR, TRT/IN 1102 EMFOR 597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Aquele que altera a verdade dos fatos ou falta com a verdade deve ser considerado litigante de má-fé, conforme disposto no artigo 17, inciso II, do CPC, e por isso deve ser condenado às despesas processuais, nelas incluídos os honorários advocatícios do ex adverso.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2026-07-28T03:38:22.206Z</dcterms:created>
  <dcterms:modified xsi:type="dcterms:W3CDTF">2026-07-28T03:38:22.206Z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