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>
      <w:r>
        <w:rPr>
          <w:b/>
          <w:bCs/>
        </w:rPr>
        <w:t xml:space="preserve">Recurso: </w:t>
      </w:r>
      <w:r>
        <w:t xml:space="preserve">REsp 295-</w:t>
      </w:r>
    </w:p>
    <w:p/>
    <w:p>
      <w:r>
        <w:t xml:space="preserve">ALIENAÇÃO DE IMÓVEL APÓS O TERMO LEGAL DA FALÊNCIA, MAS ANTERIOR À QUEBRA — VALIDADE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venda da fração ideal do imóvel e o seu registro operaram-se, respectivamente, em 15-04-83 e 03-05-83, após o termo legal da falência (27-03-83), mas antes da declaração da quebra (11-04-85). - O Acórdão recorrido reputou ineficaz a alienação, porque realizada no denominado período suspeito, argumentando com o disposto nos arts. 14, inc. III, e 40, caput, da Lei Falimentar. De anotar-se, porém, que, consoante o estatuído no mencionado art. 40, o devedor perde o direito de administrar os seus bens e deles dispor tão-somente a partir do momento da abertura da falência ou da decretação do seqüestro. Mais especificamente, interessa no caso a norma inserta no art. 52, inc. VII, que assim se enuncia: "Art. 52 - Não produzem efeito relativamente à massa, tenha ou não o contratante conhecimento do estado econômico do devedor, seja ou não intenção deste fraudar credores: VII - as inscrições de direitos reais, as transcrições de transferências de propriedade entre vivos, por título oneroso ou gratuito, ou a averbação relativa a imóveis, realizadas após a decretação do seqüestro ou a declaração da falência, a menos que tenha havido prenotação; a falta de inscrição do ônus real dá ao credor o direito de concorrer à massa como quirografário, e a falta de transcrição dá ao adquirente ação para haver o preço até onde bastar o que se apurar na venda do imóvel". - A lei, como se vê, é explícita ao considerar ineficaz a venda formalizada posteriormente à declaração da quebra. - Comentando o supra-aludido inciso legal, JOSÉ DA SILVA PACHECO preleciona que "o falido, com a decretação da falência, perde a administração e a livre dispos ição dos bens (art. 40). Daí por diante pode fiscalizar (art. 36), mas não pode dispor dos bens. Se dispuser dos bens, tal disposição é ineficaz em relação à massa. Por isso, é ineficaz toda e qualquer inscrição ou transcrição de transferência de propriedade (art. 52, VII), realizada após a decretação do seqüestro ou da falência" (Processo de Falência e Concordata, pág. 423, 5ª ed.). - Nessas condições, o indigitado art. 52, inc. VII, da Lei Falencial, não alberga a hipótese de ineficácia da alienação concretizada durante o chamado período suspeito. Nesse período, será o trespasse passível de revogação em se provando a fraude do devedor e do terceiro que com ele contratar (art. 53 do mesmo diploma legal), hipótese de que aqui não se cuida. - O tema não constitui novidade nesta Casa, pois já foi apreciado em mais de uma oportunidade por ambas as Turmas que compõem a sua 2ª Seção. No caso líder, precisamente o aresto apontado pela recorrente como modelo para o caso em tela, de relatoria do em. Ministro Cláudio Santos (REsp nº 295-SP), deixou-se bem nítida a distinção que ora se faz entre venda "antes" e "depois" da decretação da falência, in verbis: "Como se vê, a tradição do direito brasileiro sempre foi a da nulidade do registro após a decretação da falência, isto porque o devedor perde o direito de administrar os seus bens e deles dispor. Já o termo legal da falência é mero período de suspeição, cujos atos nele praticados pelo falido são revogáveis, mas não absolutamente nulos, de conformidade com os artigos 52 e 53, da lei falimentar, dos quais pinço as seguintes hipóteses, apenas para melhor clareza de meu raciocínio: o pagamento pelo falido de dívidas não vencidas; a prática de atos a título gratuito; e os atos praticados com a intenção de prejudicar credores, neste caso, ‘provando-se a fraude do devedor e do terceiro que com ele contratar’. Além de tudo, há a clara deficiência técnica do art. 215, ao fixar dois m arcos para a incidência da nulidade do registro, um, mais curto, a partir da decretação da falência, outro, mais longo, a partir do termo legal da falência, sem que fossem determinadas em que condições seriam adotados um ou outro limite. E, por outra, com a data mais antiga abrangendo a mais recente, tornando despicienda esta. Logo, a locução intercalada ‘ou do termo legal nele fixado’ somente é conciliável com a hipótese prevista no inciso III, do art. 52, a determinar a ineficácia da garantia real constituída dentro do termo legal da falência, não obstante a impropriedade da nulidade criada na lei registral. Nenhuma incompatibilidade há, destarte, entre o inciso VII, do mencionado art. 52 e o art. 215 da LRP, sendo induvidoso que este não revogou aquela norma da LF." - .......................................................................................... "Diante disso, constata-se 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Segundo o disposto no art. 52, inc. VII, do DL nº 7.661, de 21.06.45, é ineficaz a transcrição de transferência da propriedade quando efetivada após a decretação do seqüestro ou da quebra; não, se operada durante o denominado período suspeito da falência.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2026-09-11T00:24:49.483Z</dcterms:created>
  <dcterms:modified xsi:type="dcterms:W3CDTF">2026-09-11T00:24:49.483Z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