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>
      <w:r>
        <w:rPr>
          <w:b/>
          <w:bCs/>
        </w:rPr>
        <w:t xml:space="preserve">Julgado em: </w:t>
      </w:r>
      <w:r>
        <w:t xml:space="preserve">05/02/1986</w:t>
      </w:r>
    </w:p>
    <w:p/>
    <w:p>
      <w:r>
        <w:t xml:space="preserve">CRÉDITO ANTERIOR À FALÊNCIA — QUANDO NÃO SE INCLUI COMO PRIVILEGIADO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pretende que se lhe reconheça a qualidade de credor privilegiado especial, nos termos do artigo 102, § 2º, da Lei de Falências. - O dispositivo legal invocado não é aplicável ao caso. Estabelece ele que tem privilégio especial: os créditos por aluguel de prédio locado ao falido para seu estabelecimento comercial ou industrial sobre o mobiliário respectivo. Cuida a norma de encargo da massa, ou seja, de despesas de responsabilidade da própria massa e não dívida do falido. Tem privilégio especial o crédito resultante de locação de prédio ao falido, ou seja, a renda posterior ao decreto de falência. Os mencionados aluguéis se inserem entre as despesas de administração, a que alude o art. 124, § 1º, III, da Lei de Falências. Os alugueres vencidos posteriormente à decretação da falência, constituem dívida da massa falida e eles é que têm o citado privilégio especial. - No caso, a falência... foi decretada no dia 13-6-84. A entrega das chaves deu-se no dia 2 de julho do mesmo ano. E o aluguel vencia-se até o dia 5 de cada mês... Os alugueres incluídos na conta de liquidação, se referem até o mês de junho. Logo, trata-se de crédito antes da decretação da falência. Assim, não pode tal crédito ser admitido como privilegiado. Destarte o locador, que habilitar o seu crédito, deve ser considerado quirografário, tal como foi, se os aluguéis foram anteriores à falência... Julgado em 06-02-1986 Revista dos Tribunais. Abril, 1986 - Ano 75 - Vol. 606 - Pág. 88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créditos de aluguel anteriores à falência não podem ser admitidos como privilegiados.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2026-10-26T03:04:08.793Z</dcterms:created>
  <dcterms:modified xsi:type="dcterms:W3CDTF">2026-10-26T03:04:08.793Z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