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ACIDENTE DO TRABALHO</w:t>
      </w:r>
    </w:p>
    <w:p>
      <w:r>
        <w:rPr>
          <w:i/>
          <w:iCs/>
          <w:color w:val="666666"/>
        </w:rPr>
        <w:t xml:space="preserve">CONDUÇÃO PARA O SERVIÇO</w:t>
      </w:r>
    </w:p>
    <w:p/>
    <w:p>
      <w:r>
        <w:rPr>
          <w:b/>
          <w:bCs/>
        </w:rPr>
        <w:t xml:space="preserve">Tribunal: </w:t>
      </w:r>
      <w:r>
        <w:t xml:space="preserve">TST</w:t>
      </w:r>
    </w:p>
    <w:p/>
    <w:p>
      <w:r>
        <w:t xml:space="preserve">TRANSPORTE PÚBLICO REGULAR INSUFICIENTE — DIREITO A HORAS "IN ITINERE" - INOCORRÊNCIA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Provado nos autos e reconhecido no acórdão que há transporte público regular, em estrada asfaltada, porém com insuficiência nas horas de pique. - O transporte público regular é controlado e fiscalizado pelo Poder Público sem qualquer interferência da Reclamada que, por isso não pode ser apenada. - Além do mais, existe em vigor uma Convenção Coletiva de Trabalho regulamentando esta questão, inclusive fixando percentual, quando devido. - Dou provimento para excluir da condenação esta parcela. Ac. nº 2812 de 16-09-1993 Arquivo do EMFOR - TST/3.215 EMFOR 551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Havendo transporte público regular, embora insuficiente, não pode ensejar a condenação ao pagamento das horas gastas no percurso, em transporte fornecido pelo empregador, porque cabe ao Poder Público a concessão, fiscalização e controle deste serviço, sem qualquer interferência da reclamada. Transporte público regular insuficiente existe em qualquer cidade do País.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2026-06-17T16:28:49.941Z</dcterms:created>
  <dcterms:modified xsi:type="dcterms:W3CDTF">2026-06-17T16:28:49.941Z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