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Julgado em: </w:t>
      </w:r>
      <w:r>
        <w:t xml:space="preserve">08/08/1985</w:t>
      </w:r>
    </w:p>
    <w:p/>
    <w:p>
      <w:r>
        <w:t xml:space="preserve">INDISPONIBILIDADE — SE ESTÁ CONDICIONADA À ARRECADAÇÃO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dos recorrentes neste extraordinário, é a da negativa de vigência do art. 40 da Lei de Falências, visto que este dispositivo legal não condiciona a indisponibilidade dos bens à prova tópica da sua arrecadação pela massa falida. - O citado artigo dispõe: "Desde o momento da abertura da falência, ou da decretação do seqüestro, o devedor perde o direito de administrar os seus bens e deles dispor." - A sentença de primeiro grau situada a questão em debate do modo seguinte: "É inteiramente procedente a contestação. O autor, ao rebatê-la, não negou a existência da falência da firma. Ora, como se sabe, decretada a quebra, emanam, desde logo, dessa decisão, efeitos jurídicos não só relativos à falida, mas também em relação aos seus sócios e, particularmente, conquanto se trate de matéria ventilada nos autos, aos seus bens (da falida), tornam-se, desde logo, insuscetíveis de serem administrados por esta e indisponíveis, por força do disposto no art. 40 da Lei nº 7.661, de 21-6-45 (Lei de Falência), podendo a parte interessada, se assim o desejar, habilitar-se junto à Massa com o pedido de restituição (Lei cit., art. 76, § 1º). - A disposição inerente à perda da administração e do poder de disponibilidade é de clareza solar, constituindo mesmo, segundo afirmado em seu § 1º, causa de nulidade cominada, decretável "ex officio". - A propósito desse tema, é oportuna a lição do mestre RUBENS REQUIÃO: "Desde o momento da abertura da falência, que ocorre no momento em que a sentença declaratória é proferida pelo juiz, que indicará dia e hora da declaração da falência (art. 14, parágrafo único, II) ou da decre tação do seqüestro (art. 12, § 4º) o devedor do falido é desapossado de seus bens perdendo o direito de administrá-lo e deles dispor". ( in "Curso de Direito Falimentar", Saraiva, 1979, 1º vol., pág. 149). De sorte que, admitida como foi a existência da quebra da devedora, tem-se, irrecusavelmente que desde o momento de sua decretação, a falida não possui o poder de disposição de seus bens, sejam apenhados ou não, dentre os quais aqueles de que são depositários os requeridos, agora à disposição da Massa, não havendo, assim como possam ser compelidos à sua entrega por meio de ação desta natureza. Resta ao autor, se assim o quiser, habilitar-se no processo de falência". - Parece-me certo que o melhor entendimento é o da decisão singular. - Se, com a abertura da falência, o devedor perde o direito de administrar e de dispor de seus bens, não vejo como possa - qual pretende o acórdão impugnado - "fazer a entrega dos bens depositados em juízo, ou o equivalente em dinheiro, sob pena de vir a ser decretada, como de lei, a sua prisão civil." (...). - O aresto recorrido, ao entender que o devedor falido, numa hipótese de penhor mercantil, não pode invocar o art. 40 da Lei de Falências "se não comprovar devidamente que tais bens foram, realmente, arrecadado pela "Massa", negou vigência a esse exato dispositivo de lei. - Ante o exposto, conheço do recurso e lhe dou provimento, para restabelecer a autoridade da sentença de primeiro grau. Julgado em 09-08-1985 Revista Trimestral de Jurisprudência. Março, 1986 - Vol. 115 - Pág. 1.397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abertura da falência o devedor perde o direito de administrar e dispor de seus bens - Não cabe, na interpretação do artigo 40 da Lei de Falências, condicionar a indisponibilidade desses bens à prova tópica de sua arrecadação pela massa falida.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2026-09-10T23:26:03.858Z</dcterms:created>
  <dcterms:modified xsi:type="dcterms:W3CDTF">2026-09-10T23:26:03.858Z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