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/>
    <w:p>
      <w:r>
        <w:t xml:space="preserve">VIOLAÇÃO DE SUA DURAÇÃO MÍNIMA PELO EMPREGADOR — CASO DE PENALIDADE ADMINISTRATIVA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desrespeito ao intervalo mínimo entre dois turnos de trabalho, sem importar em excesso na jornada efetivamente trabalhada, não dá direito a qualquer ressarcimento ao obreiro, por tratar-se apenas de infração sujeita a penalidade administrativa (artigo 71 da CLT). Aprovado pela Resolução Administrativa nº 69/78, de 19.09.78. Publicado no Diário da Justiça de 26.09.78. Precedentes no EMFOR nº s 222 e 361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2026-07-28T06:13:10.336Z</dcterms:created>
  <dcterms:modified xsi:type="dcterms:W3CDTF">2026-07-28T06:13:10.336Z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