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SALÁRIO COMPLESSIVO</w:t>
      </w:r>
    </w:p>
    <w:p>
      <w:r>
        <w:rPr>
          <w:i/>
          <w:iCs/>
          <w:color w:val="666666"/>
        </w:rPr>
        <w:t xml:space="preserve">HORAS EXTRAS E ADICIONAL NOTURNO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INOBSERVÂNCIA DAS EXIGÊNCIAS  LEGAIS — PAGAMENTO DO ADICIONAL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Data venia do acórdão regional o fato de não haver acordo escrito de compensação de horário semanal, não implica no pagamento das horas extras sendo devido apenas o adicional de 25%, conforme entendimento pacífico desta Corte Superior, cristalizado no Enunciado nº 85 (*) do TST. - Ante o exposto, dou provimento ao recurso para restringir a condenação de horas extras ao adicional de 25% nos termos do Enunciado 85 (*) da Súmula desta Corte. Proc. TST-RR-5.365/88, Ac. de 31-05-1990 Arquivo do EMFOR - TST/2.748 EMFOR 514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não atendimento das exigências legais, para adoção do regime de compensação de horário semanal não implica na repetição do pagamento das horas excedentes sendo devido, apenas, o adicional respectivo.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2026-07-28T04:30:10.007Z</dcterms:created>
  <dcterms:modified xsi:type="dcterms:W3CDTF">2026-07-28T04:30:10.007Z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