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ANTONIO MARIA CORTIZO</w:t>
      </w:r>
    </w:p>
    <w:p/>
    <w:p>
      <w:r>
        <w:t xml:space="preserve">FALTA DE AUTORIZAÇÃO PRÉVIA E EXPRESSA DO MINISTÉRIO DO TRABALHO
- ADICIONAL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requisito constante do art. 60 da CLT visa dar maior resguardo à saúde do trabalhador que presta serviço em local insalubre, somente permitindo a compensação com autorização prévia da autoridade competente. - Portanto, não tendo sido cumpridas as exigências constantes do art. 60 da CLT, há a nulidade do acordo compensatório e não apenas a conseqüência de índole administrativa, sendo devido o pagamento das horas extras. - No mesmo sentido: RR-141.696/94, Ac. 5ª Turma nº 1.560/95, Rel. Min. ANTONIO MARIA CORTIZO, DJ 19/5/95; RR-138.467/94, Ac. 5ª Turma nº 1.183/95, Rel. Min. ANTONIO MARIA CORTIZO, DJ 28/4/95; RR-133.795/94, Ac. 1ª Turma nº 1.237/95, Rel. Min. AFONSO CELSO, DJ 12/5/95; RR-137.397/94, Ac. 5ª Turma nº 792/95, Rel. Min. WAGNER PIMENTA, DJ 31/3/95; RR-125.699/94, Ac. 1ª Turma nº 579/95, Rel. Min. INDALÉCIO GOMES NETO, DJ 31/3/95. - Pelo exposto, nego provimento ao recurso. Ac. nº 3.064 de 21-06-1995 Arquivo do EMFOR - TST/3.318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trabalho é prestado em ambiente insalubre, a sobrejornada deve ser prévia e expressamente autorizada pelo Ministério do Trabalho (CLT, art. 60). Logo, a compensação de horário que não observa esse preceito é irregular, ainda que prevista em acordo ou convenção coletiva. Devido, entretanto, apenas o adicional incidente sobre as horas extras, na forma do Enunciado 85 (*),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2026-07-28T01:51:03.485Z</dcterms:created>
  <dcterms:modified xsi:type="dcterms:W3CDTF">2026-07-28T01:51:03.485Z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