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/>
    <w:p>
      <w:r>
        <w:t xml:space="preserve">INOBSERVÂNCIA DE EXIGÊNCIA LEGAIS — OBRIGAÇÃO DE PAGAR O ADICIONAL RESPECTIVO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atendimento das exigências legais para adoção do regime de compensação de horário semanal não implica na repetição do pagamento das horas excedentes, sendo devido, apenas, o adicional respectivo. Aprovado pela Resolução Administrativa nº 69/78, de 19.09.78. Publicado no Diário da Justiça de 26.09.78. N. da R.: Ver o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2026-10-16T17:24:30.405Z</dcterms:created>
  <dcterms:modified xsi:type="dcterms:W3CDTF">2026-10-16T17:24:30.405Z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