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Julgado em: </w:t>
      </w:r>
      <w:r>
        <w:t xml:space="preserve">04/09/1985</w:t>
      </w:r>
    </w:p>
    <w:p/>
    <w:p>
      <w:r>
        <w:t xml:space="preserve">JORNADA SUPLEMENTAR EXCEDENTE DE 48 HORAS SEMANAIS — TRABALHO AOS SÁBADOS - SE INVALIDA O AJUSTE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Razão assiste à reclamada ao pretender a absolvição do pagamento de adicional de 25% próprio da hora extra. "Data venia" do entendimento da MM. Junta, a prestação de trabalho em jornada suplementar excedente a 48 (quarenta e oito) horas semanais não invalida o ajuste para o regime de compensação do horário semanal de trabalho, o qual foi regulamente celebrado através do acordo escrito. O fato da dilatação compensatória ser habitualmente excedida, conforme se verifica nos recibos de pagamento, não descaracteriza o regime ajustado. - Prospera, pois, o apelo para absolver-se a recorrente da condenação que lhe foi imposta. Proc. TRT-580/85, Julgado em 05-09-1985 Arquivo do EMFOR, TRT/390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prestação do trabalho em jornada suplementar que exceda as 48 horas semanais não invalida o ajuste para adoção do regime de compensação de horário semanal de trabalho, regularmente celebrado.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2026-07-28T01:25:12.962Z</dcterms:created>
  <dcterms:modified xsi:type="dcterms:W3CDTF">2026-07-28T01:25:12.962Z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