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Julgado em: </w:t>
      </w:r>
      <w:r>
        <w:t xml:space="preserve">15/08/1994</w:t>
      </w:r>
    </w:p>
    <w:p/>
    <w:p>
      <w:r>
        <w:t xml:space="preserve">DIVERGÊNCIA COM O REGISTRADO NOS CARTÕES DE PONTO — PREVALÊNCIA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agravante haver o Setor de Cálculos apurado de modo incorreto a parcela de diferenças de horas extras, havendo descoincidência entre o número de horas extras laboradas por mês, constantes dos cálculos atacados e o número de horas que se encontram efetivamente registrados nos cartões de ponto do exeqüente, o qual é bem inferior àquele. - De fato, do cotejo entre os cartões de ponto de fls. 71/87 e o número de horas extras apurado pelo Setor de Cálculo da MM. Junta a quo, não é possível detectar o critério que orientou o funcionário encarregado a encontrar o número de horas extras lançadas na coluna a elas referentes (fls. 142/143). - O r. Colegiado de origem, quando decidiu a questão, determinou que a diferença de horas extras fosse pesquisada nos cartões de ponto e, em seguida, deduzido o valor pago nos recibos (fl. 98). - O correto seria, em estrita observância ao comando sentencial, a contagem das horas extras apenas nos cartões de ponto, onde estão registradas as horas de entrada e de saída, eis que a contagem é impossível, com base nos cartões que registram apenas a hora de entrada. - Contudo, tal procedimento conduziria a um número de horas extras inferior ao que já foi expressamente admitido pela agravante, no demonstrativo que anexou às razões de embargos à execução, onde indica o número total de horas extras trabalhadas em cada mês, para dele ser abatido o número daquelas efetivamente pagas. Como não houve, por parte do exeqüente, impugnação ao número de horas extras indicados pela executada, ora agravante, dou provimento ao recurso, para determinar a reformulação do cálculo, a fim de que tome por base, quanto ao número de horas extras mensalment e executadas, o indicado na COLUNA NÚMERO REAL-CARTÕES DE PONTO - do demonstrativo da agravante, de fls. 150/152. Deste número deverá ser abatido o valor correspondente às horas extras já quitadas, constantes dos recibos de pagamento, sendo importante, aqui destacar, que a agravante concordou com o número encontrado pela Junta, relativamente às horas extras já pagas, posto que nenhuma impugnação apresentou neste sentido. Ac. 6521/94 - Julgado em 16-08-1994 RDT, vol. 01/95, pág. 58 Arquivo do EMFOR, TRT/N1.528 EMFOR 607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Constatada a discrepância entre o número de horas extras apurado pelo Setor de Cálculo e o registrado nos cartões de ponto, prevaleceria este último se a executada não houvesse admitido quantidade superior de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2026-07-28T01:58:14.356Z</dcterms:created>
  <dcterms:modified xsi:type="dcterms:W3CDTF">2026-07-28T01:58:14.356Z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