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MANOEL MENDES DE FERITAS</w:t>
      </w:r>
    </w:p>
    <w:p/>
    <w:p>
      <w:r>
        <w:t xml:space="preserve">DEMORA NA MARCAÇÃO — FAIXA DE TOLERÂNCIA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tópico, a Turma negou provimento ao recurso de revista da Reclamada ao entendimento assim ementado, "verbis": "Horas Extraordinárias - Contagem minuto a minuto . Constatando-se a existência de horas extraordinárias não pagas, as frações de minutos anteriores e posteriores à jornada regular de trabalho, anotadas nos cartões, devem ser remuneradas como extraordinárias, pois caracterizam tempo à disposição do empregador." - O único julgado transcrito nas razões do apelo quanto a este tema viabiliza o seu conhecimento por consignar tese divergente daquela adotada pela Turma. - Conheço, portanto, pelo conflito de teses no particular. MÉRITO - O tempo gasto para o registro do horário do início e do término da jornada de trabalho, em cumprimento ao art. 74, § 3º, da CLT, que não ultrapassar a cinco minutos, não deve ser considerado como extra. Isto porque, considerando-se o número de empregados sujeitos à marcação de ponto, é razoável que se conceda cinco minutos de tolerância, tanto na entrada quanto na saída, em razão da impossibilidade de todos marcarem ponto simultaneamente. - A jurisprudência iterativa da Corte é nesse mesmo sentido, devendo acrescentar-se que, se ultrapassado o referido limite, será considerada como extra a totalidade do tempo que exceder à jornada normal. - Portanto, dou provimento parcial aos embargos para determinar o pagam ento como extra dos 5 (cinco) primeiros minutos antes e/ou depois da jornada normal de trabalho, apenas quando houver apuração de tempo excedente ao limite indicado. Ac. 4110/97, DJ de 19-10-97 Arquivo do EMFOR, TST/N1249 NO MESMO SENTIDO: Revista 1.350/92 - TST - 3ªT - Relator: Ministro MANOEL MENDES DE FERITAS, Ac. de 15-05-1992; ERR 34983/91 - TST - SDI - Relator: Ministro JOSÉ L. VASCONCELLOS, Ac. de 08-09-1996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gasto para registro de ponto, antes e após a jornada normal, que não ultrapassar a cinco minutos, não deve ser considerado como extra. Isto porque, considerando-se o número de empregados sujeitos à marcação de ponto, é razoável que se conceda cinco minutos de tolerância, tanto na entrada quanto na saída, em razão da impossibilidade de todos marcarem ponto simultaneamente. Porém, se ultrapassado o referido limite como extra será considerada a totalidade do tempo que exceder a jornada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2026-10-16T16:15:47.611Z</dcterms:created>
  <dcterms:modified xsi:type="dcterms:W3CDTF">2026-10-16T16:15:47.611Z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