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/>
    <w:p>
      <w:r>
        <w:t xml:space="preserve">SE PODEM SER APURADAS POR ESSE MEIO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&lt;&lt;Cabente o pedido correcional, porquanto não indeferida a inicial, hipótese em que se apropriaria o recurso ordinário&gt;&gt;. - E continua: &lt;&lt; Enganaram-se os que sustentam a aplicabilidade ao processo trabalhista, da rigidez do art. 286 do Código de processo Civil. - Na verdade, numa Justiça onde as reclamações podem ser formuladas por meros termos nos autos, redigidos por funcionário, não se aduna a exigência contida no referido dispositivo. - O que a CLT diz, com clareza, é que &lt;&lt;sendo escrita a reclamação, deverá conter a designação do Presidente da Junta, ou Juiz de Direito, a quem for dirigida, a qualificação do reclamante e do reclamado, uma breve exposição dos fatos de que resulte o dissídio, o PEDIDO, a data e a assinatura do reclamante ou de seu representante&gt;&gt;. - O pedido em nossa Justiça é, via de regra, sempre de numerário, em &lt;&lt;quanto líquidos ou ilíquidos&gt;&gt;. - A submissão à regra do art. 286 do Código de Processo Civil, muito ao contrário do que pensa o ilustrado Juiz da primeira instância, constituiria a meu ver, indesejável retrocesso no trabalho insano dos funcionários desta Justiça nas reclamações formuladas por termo nos autos. - No caso, o que o reclamante deixou para apurar, na execução, só pode ser fruto de sua honestidade, porque, do contrário, assinalaria qualquer importância, contando com possível revelia. - Como se vê a pretensão do recorrente não é descabida, desde que o &lt;&lt;quantum&gt;&gt; das extras poderiam e podem ser apuradas em execução de sentença, forma, inclusive, de se chegar, através de perícia, à sua real prestação. - O acórdão paradigma citou com propriedade a hipótese dos autos, razão pela qual peço vênia para adotar os seus fundamentos jurídicos, para dar provimento ao recurso, para reformar o acórdão impugnado e determinando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aplicável à apuração das horas extras trabalhadas, que através de perícia técnica poderá chegar a sua real prestação.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2026-07-28T07:12:24.737Z</dcterms:created>
  <dcterms:modified xsi:type="dcterms:W3CDTF">2026-07-28T07:12:24.737Z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