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/>
    <w:p>
      <w:r>
        <w:t xml:space="preserve">SE PODEM SER APURADAS POR ESSE MEIO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&lt;&lt;Cabente o pedido correcional, porquanto não indeferida a inicial, hipótese em que se apropriaria o recurso ordinário&gt;&gt;. - E continua: &lt;&lt; Enganaram-se os que sustentam a aplicabilidade ao processo trabalhista, da rigidez do art. 286 do Código de processo Civil. - Na verdade, numa Justiça onde as reclamações podem ser formuladas por meros termos nos autos, redigidos por funcionário, não se aduna a exigência contida no referido dispositivo. - O que a CLT diz, com clareza, é que &lt;&lt;sendo escrita a reclamação, deverá conter a designação do Presidente da Junta, ou Juiz de Direito, a quem for dirigida, a qualificação do reclamante e do reclamado, uma breve exposição dos fatos de que resulte o dissídio, o PEDIDO, a data e a assinatura do reclamante ou de seu representante&gt;&gt;. - O pedido em nossa Justiça é, via de regra, sempre de numerário, em &lt;&lt;quanto líquidos ou ilíquidos&gt;&gt;. - A submissão à regra do art. 286 do Código de Processo Civil, muito ao contrário do que pensa o ilustrado Juiz da primeira instância, constituiria a meu ver, indesejável retrocesso no trabalho insano dos funcionários desta Justiça nas reclamações formuladas por termo nos autos. - No caso, o que o reclamante deixou para apurar, na execução, só pode ser fruto de sua honestidade, porque, do contrário, assinalaria qualquer importância, contando com possível revelia. - Como se vê a pretensão do recorrente não é descabida, desde que o &lt;&lt;quantum&gt;&gt; das extras poderiam e podem ser apuradas em execução de sentença, forma, inclusive, de se chegar, através de perícia, à sua real prestação. - O acórdão paradigma citou com propriedade a hipótese dos autos, razão pela qual peço vênia para adotar os seus fundamentos jurídicos, para dar provimento ao recurso, para reformar o acórdão impugnado e determinando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aplicável à apuração das horas extras trabalhadas, que através de perícia técnica poderá chegar a sua real prestação.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2026-10-16T16:16:31.769Z</dcterms:created>
  <dcterms:modified xsi:type="dcterms:W3CDTF">2026-10-16T16:16:31.769Z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