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PRINCÍPIO DO LIVRE CONVENCIMENTO</w:t>
      </w:r>
    </w:p>
    <w:p/>
    <w:p>
      <w:r>
        <w:rPr>
          <w:b/>
          <w:bCs/>
        </w:rPr>
        <w:t xml:space="preserve">Relator: </w:t>
      </w:r>
      <w:r>
        <w:t xml:space="preserve">MARCO AURÉLIO</w:t>
      </w:r>
    </w:p>
    <w:p/>
    <w:p>
      <w:r>
        <w:t xml:space="preserve">EFEITOS — DIREITOS DO EMPREGADO - REVISÃO DE SÚMULA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SUPRESSÃO, PELO EMPREGADOR, DO SERVIÇO SUPLEMENTAR PRESTADO COM HABITUALIDADE, DURANTE PELO MENOS UM ANO, ASSEGURA AO EMPREGADO O DIREITO À INDENIZAÇÃO CORRESPONDENTE AO VALOR DE UM MÊS DAS HORAS SUPRIMIDAS PARA CADA ANO OU FRAÇÃO IGUAL OU SUPERIOR A SEIS MESES DE PRESTAÇÃO DE SERVIÇO ACIMA DA JORNADA NORMAL. O CÁLCULO OBSERVARÁ A MÉDIA DAS HORAS SUPLEMENTARES EFETIVAMENTE TRABALHADAS NOS ÚLTIMOS 12 MESES, MULTIPLICADA PELO VALOR DA HORA EXTRA DO DIA DA SUPRESSÃO. Referência: Artigo 7º, inciso XIII, da Constituição Federal. Artigos 8º, 58, 59 e 61 da Consolidação das Leis do Trabalho. Artigo 9º da Lei 5.811, de 10 de outubro de 1972. Precedentes: Revisão do enunciado 76 da Súmula - Incidente no RR-506/85 - 1ª Turma, Relator Ministro MARCO AURÉLIO. Resolução 01/89, de 15-3-89. DJ de 14-4-89. (*) "O valor das horas suplementares prestadas habitualmente, por mais de dois anos, ou durante todo o contrato, se suprimidas, integra-se no salário para todos os efeitos legais." (EMENTÁRIO FORENSE", Nº 370). EMFOR 486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2026-07-28T01:21:51.330Z</dcterms:created>
  <dcterms:modified xsi:type="dcterms:W3CDTF">2026-07-28T01:21:51.330Z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