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HORAS EXTRAORDINÁRIAS</w:t>
      </w:r>
    </w:p>
    <w:p>
      <w:r>
        <w:rPr>
          <w:i/>
          <w:iCs/>
          <w:color w:val="666666"/>
        </w:rPr>
        <w:t xml:space="preserve">PRINCÍPIO DO LIVRE CONVENCIMENTO</w:t>
      </w:r>
    </w:p>
    <w:p/>
    <w:p>
      <w:r>
        <w:rPr>
          <w:b/>
          <w:bCs/>
        </w:rPr>
        <w:t xml:space="preserve">Julgado em: </w:t>
      </w:r>
      <w:r>
        <w:t xml:space="preserve">18/09/1985</w:t>
      </w:r>
    </w:p>
    <w:p/>
    <w:p>
      <w:r>
        <w:t xml:space="preserve">SE DÁ AO EMPREGADO DIREITO DE CONTINUAR PERCEBENDO A MÉDIA SALARIAL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MM. Junta entendeu que tendo o autor prestado horas extras habitualmente até junho de 1983 e não sendo comprovado pelo demandado que o reclamante deixou de prestar serviços em sobrejornada por sua vontade, essa supressão significou alteração contratual unilateral e prejudicial ao empregado. - Em consequência, deferiu-lhe a média das horas extras suprimidas e reflexos respectivos. - Divergimos desses fundamentos, entendendo que o trabalho extraordinário é sempre uma exceção e, como tal suscetível de oscilações, ora com o acréscimo à carga horária normal, se necessária a mão-de-obra após a jornada de trabalho legal, ora com diminuição da sobrejornada, podendo ser inteiramente suprimido, no caso de o empregador prescindir de outras atividades além daquelas desenvolvidas no horário normal. Nessa alteração contratual, mas apenas o lícito retorno à duração normal do trabalho, não substituindo o direito do empregado em receber contraprestação por serviços que não mais executa, pois se assim fosse teríamos uma remuneração sem a correspondente prestação laboral, configurando o enriquecimento sem causa. - Dá-se provimento à remessa de ofício para absolver a Municipalidade da condenação imposta em 1º Grau. VENCIDO O MINISTRO PETRÔNIO R. VOLINO Proc. TRT-2.353/85, Julgado em 19-09-1985 Arquivo do EMFOR, TRT/396 EMFOR 449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 face da excepcionalidade do trabalho extraordinário, é ele suscetível de oscilações, inclusive com a supressão total, sem originar ao empregado o direito de perceber pagamentos pela sua média, situação em que permaneceria sendo remunerado sem prestar os serviços correspondentes.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2026-10-16T17:24:16.292Z</dcterms:created>
  <dcterms:modified xsi:type="dcterms:W3CDTF">2026-10-16T17:24:16.292Z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