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ADICIONAL POR TEMPO DE SERVIÇO</w:t>
      </w:r>
    </w:p>
    <w:p/>
    <w:p>
      <w:r>
        <w:rPr>
          <w:b/>
          <w:bCs/>
        </w:rPr>
        <w:t xml:space="preserve">Recurso: </w:t>
      </w:r>
      <w:r>
        <w:t xml:space="preserve">RE 47.001</w:t>
      </w:r>
    </w:p>
    <w:p/>
    <w:p>
      <w:r>
        <w:t xml:space="preserve">EMPREGADO COM DIREITO À READMISSÃO — VANTAGENS ADVINDAS À CATEGORIA - CONSIDERAÇÃO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indenização devida a empregado que tinha direito a ser readmitido, e não foi, levam-se em conta as vantagens advindas à sua categoria no período do afastamento. Referência: CLT, art. 475, § 1º RE 47.001, de 18.08.61; RE 48.490, de 14.11.61; RE 51.525, de 30.10.62 (D.J. de 20.12.62, p. 868). ERE 53.622, de 18.11.63 (D.J. de 07.05.64, p. 238); Ag 26.193, de 22.05.62. Aprovada em Sessão de 13-12-1963 - pág. 107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2026-07-28T01:36:29.210Z</dcterms:created>
  <dcterms:modified xsi:type="dcterms:W3CDTF">2026-07-28T01:36:29.210Z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