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47.001</w:t>
      </w:r>
    </w:p>
    <w:p/>
    <w:p>
      <w:r>
        <w:t xml:space="preserve">EMPREGADO COM DIREITO À READMISSÃO — VANTAGENS ADVINDAS À CATEGORIA - CONSIDERAÇÃO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indenização devida a empregado que tinha direito a ser readmitido, e não foi, levam-se em conta as vantagens advindas à sua categoria no período do afastamento. Referência: CLT, art. 475, § 1º RE 47.001, de 18.08.61; RE 48.490, de 14.11.61; RE 51.525, de 30.10.62 (D.J. de 20.12.62, p. 868). ERE 53.622, de 18.11.63 (D.J. de 07.05.64, p. 238); Ag 26.193, de 22.05.62. Aprovada em Sessão de 13-12-1963 - pág. 107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2026-10-16T16:13:42.901Z</dcterms:created>
  <dcterms:modified xsi:type="dcterms:W3CDTF">2026-10-16T16:13:42.901Z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