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Recurso: </w:t>
      </w:r>
      <w:r>
        <w:t xml:space="preserve">RE 43.238</w:t>
      </w:r>
    </w:p>
    <w:p/>
    <w:p>
      <w:r>
        <w:t xml:space="preserve">PERÍODO RESPECTIVO — CÔMPUTO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efeito de indenização e estabilidade, conta-se o tempo em que o empregado esteve afastado, em serviço militar obrigatório, mesmo anteriormente à Lei nº 4.702, de 01.06.62. Referência: CLT, artigo 4º, parágrafo único Lei nº 4.072, de 01.06.62, artigo 1º Ag 13.164, de 17.06.47 (D.J. de 10.11.48, p. 3.095); RE 43.238, de 05.07.60; RE 46.089, de 05.12.60; RE 56.323, de 01.10.64 RE 51.486, de 13.11.62 (D.J. de 04.04.63, p. 141 - publicado erroneamente sob o nº 51.188). Sessão de 01-10-1964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2026-07-28T01:20:44.103Z</dcterms:created>
  <dcterms:modified xsi:type="dcterms:W3CDTF">2026-07-28T01:20:44.103Z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