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INSALUBRIDADE</w:t>
      </w:r>
    </w:p>
    <w:p>
      <w:r>
        <w:rPr>
          <w:i/>
          <w:iCs/>
          <w:color w:val="666666"/>
        </w:rPr>
        <w:t xml:space="preserve">COMPETÊNCIA DO MINISTRO DO TRABALHO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EXPOSIÇÃO A RISCO POR TEMPO   INFERIOR À JORNADA — DIREITO AO   MESMO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Sem censuras a veneranda decisão a quo. A constatação da existência de insalubridade é o que assegura a percepção do adicional, em nada importando o fato de que a exposição ao agente insalubre se dê apenas durante parte da jornada de trabalho. O reclamante faz, assim, jus ao adicional, que não pode ser fracionado. - Nego provimento ao recurso. - Também aqui deve ser confirmado o entendimento regional. O empregado que presta trabalho em jornada suplementar não pode receber remuneração inferior àquela devida pelo cumprimento da jornada normal. E se nessa última a remuneração compreende o pagamento do adicional de insalubridade, ele não desaparecerá quando do cálculo para as horas extraordinárias. - Nego, da mesma forma, provimento a recurso. Proc. TST-RR-7.131/89, Ac. de 05-11-1990 Arquivo do EMFOR - TST/2.820 EMFOR 519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Mesmo que a exposição do empregado ao agente nocivo não se dê durante toda a sua jornada de trabalho, faz ele jus ao adicional respectivo, que não pode ser fracionado. Esse adicional deve, por outro lado, incidir no cálculo das horas extraordinárias.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2026-07-28T01:58:21.028Z</dcterms:created>
  <dcterms:modified xsi:type="dcterms:W3CDTF">2026-07-28T01:58:21.028Z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