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INSALUBRIDADE</w:t>
      </w:r>
    </w:p>
    <w:p>
      <w:r>
        <w:rPr>
          <w:i/>
          <w:iCs/>
          <w:color w:val="666666"/>
        </w:rPr>
        <w:t xml:space="preserve">COMPETÊNCIA DO MINISTRO DO TRABALHO</w:t>
      </w:r>
    </w:p>
    <w:p/>
    <w:p>
      <w:r>
        <w:rPr>
          <w:b/>
          <w:bCs/>
        </w:rPr>
        <w:t xml:space="preserve">Tribunal: </w:t>
      </w:r>
      <w:r>
        <w:t xml:space="preserve">TST</w:t>
      </w:r>
    </w:p>
    <w:p/>
    <w:p>
      <w:r>
        <w:t xml:space="preserve">NÃO INTEGRAÇÃO AO SALÁRIO — QUANDO OCORRE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Sustentou o Tribunal "a quo": "... tendo o referido adicional natureza salarial e integrativa para todos os efeitos legais, nada a ser modificado no julgado "a quo" acerca das integrações deferidas em sentença. - ........................................ - Razão assiste ao reclamado haja vista que o adicional de insalubridade é calculado sobre o salário mínimo e pode ser suprimido seu pagamento quando cessarem as condições insalubres, logo, não há que se falar em integração da parcela ao salário. - Pelo exposto, dou provimento parcial ao recurso para, reformando o v. Acórdão revisando, excluir da condenação a integração do adicional de insalubridade no salário do Reclamante. Ac. nº 6.183 de 24-11-1994 Arquivo do EMFOR - TST/3.308 EMFOR 560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Qualquer adicional somente é pago enquanto houver o desconforto motivador da sua indenização. Cessado o motivo principal, com ele, também vai o acessório.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2026-07-28T01:23:57.243Z</dcterms:created>
  <dcterms:modified xsi:type="dcterms:W3CDTF">2026-07-28T01:23:57.243Z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