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INSALUBRIDADE</w:t>
      </w:r>
    </w:p>
    <w:p>
      <w:r>
        <w:rPr>
          <w:i/>
          <w:iCs/>
          <w:color w:val="666666"/>
        </w:rPr>
        <w:t xml:space="preserve">COMPETÊNCIA DO MINISTRO DO TRABALHO</w:t>
      </w:r>
    </w:p>
    <w:p/>
    <w:p>
      <w:r>
        <w:rPr>
          <w:b/>
          <w:bCs/>
        </w:rPr>
        <w:t xml:space="preserve">Julgado em: </w:t>
      </w:r>
      <w:r>
        <w:t xml:space="preserve">27/05/1986</w:t>
      </w:r>
    </w:p>
    <w:p/>
    <w:p>
      <w:r>
        <w:t xml:space="preserve">SUA INCIDÊNCIA — SALÁRIO HORA ORDINÁRIO DO PERÍODO DIURNO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se disse que essa disposição legal fixa com clareza incontornável a base de cálculo do adicional de risco: o salário ordinário do período diurno, de modo a excluir todos os acréscimos salariais, excepcionais ou não, de horas extras, prêmios, participações, inclusive a gratificação individual de produtividade, CIP. - Em decorrência, o adicional de risco, mesmo no período diurno ou noturno da prorrogação da jornada de trabalho, incide sobre o valor do salário-hora ordinário do período diurno, excluídas quaisquer outras vantagens que não compõem o seu valor, inclusive a gratificação individual de produtividade - CIP. - Dado provimento ao recurso. Proc. TRT-4.815/83, Julgado em 28-05-1986 Arquivo do EMFOR, TRT/411 EMFOR 455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4.860/65, no artigo 14, dispõe que, a fim de remunerar os riscos relativos à insalubridade, periculosidade e outros porventura existentes, fica instituído o adicional de risco de 40% (quarenta por cento) que incidirá sobre o valor do salário-hora ordinário do período diurno e substituirá todos aqueles que, com sentido ou caráter idêntico, vinham sendo pagos.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2026-07-28T01:55:59.503Z</dcterms:created>
  <dcterms:modified xsi:type="dcterms:W3CDTF">2026-07-28T01:55:59.503Z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