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Julgado em: </w:t>
      </w:r>
      <w:r>
        <w:t xml:space="preserve">27/05/1986</w:t>
      </w:r>
    </w:p>
    <w:p/>
    <w:p>
      <w:r>
        <w:t xml:space="preserve">SUA INCIDÊNCIA — SALÁRIO HORA ORDINÁRIO DO PERÍODO DIURNO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se disse que essa disposição legal fixa com clareza incontornável a base de cálculo do adicional de risco: o salário ordinário do período diurno, de modo a excluir todos os acréscimos salariais, excepcionais ou não, de horas extras, prêmios, participações, inclusive a gratificação individual de produtividade, CIP. - Em decorrência, o adicional de risco, mesmo no período diurno ou noturno da prorrogação da jornada de trabalho, incide sobre o valor do salário-hora ordinário do período diurno, excluídas quaisquer outras vantagens que não compõem o seu valor, inclusive a gratificação individual de produtividade - CIP. - Dado provimento ao recurso. Proc. TRT-4.815/83, Julgado em 28-05-1986 Arquivo do EMFOR, TRT/411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4.860/65, no artigo 14, dispõe que, a fim de remunerar os riscos relativos à insalubridade, periculosidade e outros porventura existentes, fica instituído o adicional de risco de 40% (quarenta por cento) que incidirá sobre o valor do salário-hora ordinário do período diurno e substituirá todos aqueles que, com sentido ou caráter idêntico, vinham sendo pagos.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2026-10-16T16:15:25.547Z</dcterms:created>
  <dcterms:modified xsi:type="dcterms:W3CDTF">2026-10-16T16:15:25.547Z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