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Julgado em: </w:t>
      </w:r>
      <w:r>
        <w:t xml:space="preserve">06/05/1985</w:t>
      </w:r>
    </w:p>
    <w:p/>
    <w:p>
      <w:r>
        <w:t xml:space="preserve">DEPÓSITO ELISIVO —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desta Egrégia Sétima Câmara Cível tem sido no sentido da respeitável sentença apelada, pelos fundamentos que passamos a expor. - No depósito elisivo de falência feito pela devedora não há processo falimentar. Ao contrário, arquiva-se o feito, desde que efetuado o pagamento. - Cuida-se de verdadeira execução indireta. - Quando editada a lei de falência, em 1945, tínhamos uma inflação diminuta, hoje temos inflação de 240% ao ano. - A lei nº 6.899/81 é universal e genérica ao estatuir a correção monetária a qualquer débito resultante de decisão judicial, sem fazer exceções. - O comerciante hoje que elide a falência pagando apenas o principal, em verdade obtém locupletamento ilícito às custas do credor, porque paga em moeda defasada importância inferior ao "valor real" do seu débito... Julgado em 07-05-1985 Arquivo do EMFOR, TJ/1.401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6.899/81é universal e genérica ao estatuir a correção monetária de débito resultante de decisão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2026-10-16T16:07:13.646Z</dcterms:created>
  <dcterms:modified xsi:type="dcterms:W3CDTF">2026-10-16T16:07:13.646Z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