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Agravo de Instrumento 91.551-6</w:t>
      </w:r>
    </w:p>
    <w:p/>
    <w:p>
      <w:r>
        <w:t xml:space="preserve">QUANDO AO CREDOR ASSISTE DIREITO A JUROS 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Houve interpretação de cláusulas contratuais (Súmula nº 454). (*) - Diz o acórdão que a correção monetária &lt;&lt;integra o próprio capital, de que é mera atualização, sendo seu ajuste ou convenção autorizado pelo Decreto-lei nº 413/69&gt;&gt;. Ademais, fez aplicação analógica do parágrafo único do art. 26 da Lei de Falências, ou seja, na medida em que permitir o produto dos bens dados em garantia. - Observo que, segundo o recorrido, a falência da recorrente se deu a 23-6-81 (fls. 29), fato não contestado. - Diante do exposto é de ver que embora não houvesse previsão legal para a correção monetária nas falências ou concordatas, a empresa recorrente anuiu na incidência da correção, conforme cláusula contratual (que tem força de lei entre os contraentes), interpretada pelo aresto recorrido. - Não há que falar em negativa de vigência ao parágrafo do art. 26 da Lei de Falências, aplicado por analogia. A propósito, o art. 26 (caput) estabelece que contra a massa não correm juros, se o ativo apurado não bastar para o pagamento do principal. Entretanto, no parágrafo único excetua os créditos com garantia real, respondendo pelos encargos o produto dos bens que constituem a garantia. - Quanto ao art. 129 do referido diploma, segundo o qual &lt;&lt;se a massa comportar o pagamento do principal e dos juros, será restituída ao falido a sobra que houver&gt;&gt;, esta matéria não foi questionada. Aplic a-se, pois, a Súmula nº 282. (*) - Além disso, não há cogitar de dissídio interpretativo com o acórdão em agravo regimental, no Agravo de Instrumento nº 91.551-6, porquanto ali não havia a estipulação de correção monetária em contrato celebrado entre as partes. A invocação não atende à Súmula nº 291. (**); - Finalmente, ao ser decretada a falência já vigorava a Lei nº 6.899, de 8-4-81, aplicável a partir da sua vigência aos processos de concordata e falência, conforme a jurisprudência desta corte (ver RE 109.448, decisão do Plenário, relator para o acórdão o eminente Ministro OSCAR CORRÊA, RE 100.108 e 111.723, decisões da Primeira Turma, relatadas pelo Min. OSCAR CORREA, RREE 107.344 e 108.938, Segunda Turma, relatadas pelo eminente Min. FRANCISCO REZEK, e RE 109.368 por mim relatado). - Diante do exposto não conheço do recurso. Ac. de 31-03-1987 Revista Trimestral de Jurisprudência, Agosto, 1987 - Vol. 121 - Pág. 803. (*) &lt;&lt;simples interpretação de cláusulas contratuais não dá lugar a recurso extraordinário.&gt;&gt; (&lt;&lt;EMENTÁRIO FORENSE&gt;&gt;, Nº 193, t. RECURSO EXTRAORDINÁRIO, st. CONTRATO). (*) &lt;&lt;É inadmissível o recurso extraordinário, quando não ventilada na decisão recorrida, a questão federal suscitada.&gt;&gt; (EMENTÁRIO FORENSE&gt;&gt;, Nº195, t. RECURSO EXTRAORDINÁRIO, st. CABIMENTO). (**) &lt;&lt;No recurso extraordinário pela letra &lt;&lt;d&gt;&gt; do art. 101, III, da Constituição, a prova do dissídio jurisprudencial far-se-á por certidão, ou mediante indicação do &lt;&lt;Diário da Justiça&gt;&gt;, ou de repertório de jurisprudência autorizado, com a transcrição do trecho que configure a divergência, mencionadas as circunstâncias que identifiquem ou assemelhem os casos confrontados.&gt;&gt; (&lt;&lt;EMENTÁRIO FORENSE&gt;&gt;, Nº 195, t. RECURSO EXTRAORDINÁRIO, st. DIVERGÊNCIA JURISPRUDENCIAL).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com garantia real tem direito aos juros e a correção monetária ajustados até a data da decretação da falência. Tem ainda direito a uns e outro até o efetivo pagamento na medida em que permitir o produto dos bens que constituem a garantia. Embora não houvesse previsão legal para a correção monetária nas falências ou concordatas, a empresa recorrente anuiu na incidência da correção, conforme cláusula contratual (que tem força de lei entre os contraentes), interpretada pelo aresto recorrido.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2026-07-28T01:26:21.149Z</dcterms:created>
  <dcterms:modified xsi:type="dcterms:W3CDTF">2026-07-28T01:26:21.149Z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