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EMENTÁRIO DECISÃO MONOCRÁTICA</w:t>
      </w:r>
    </w:p>
    <w:p/>
    <w:p/>
    <w:p>
      <w:r>
        <w:t xml:space="preserve">PARTICIPAÇÃO DE GREVE ILEGAL — SE CONSTITUI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 se o verdadeiro motivo para a despedida foi a participação pelo recorrido em greve da categoria profissional, não obstante se cuidasse de serviço público concedido, atividade então proibida a greve, o fato de que a empresa havia atendido parcialmente às reivindicações formuladas pelos empregados legitimou a aludida greve, fazendo desaparecer qualquer pretensão de justa causa para dispensa de empregado que dela tenha participado. Ac. de 18-10-1995 DJU 20-11-95 Arquivo do EMFOR S00152/TRF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constitui ato de indisciplina ou de insubordinação o exercício do direito de greve. - Não pode a reclamada transmutar a justa causa de insubordinação em participação de greve ilegal.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2026-09-10T22:09:53.728Z</dcterms:created>
  <dcterms:modified xsi:type="dcterms:W3CDTF">2026-09-10T22:09:53.728Z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