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Ap. 25.040</w:t>
      </w:r>
    </w:p>
    <w:p>
      <w:r>
        <w:rPr>
          <w:b/>
          <w:bCs/>
        </w:rPr>
        <w:t xml:space="preserve">Relator: </w:t>
      </w:r>
      <w:r>
        <w:t xml:space="preserve">NELSON KONRAD</w:t>
      </w:r>
    </w:p>
    <w:p/>
    <w:p>
      <w:r>
        <w:t xml:space="preserve">SUA LEGITIMAÇÃO NA FALÊNCIA DO DEVEDOR COMERCIANTE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falência está escudado nos artigos 1º e 9º, inciso III, letra a, da Lei Falimentar, e o requerente, corretor de seguros, formulou sua postulação como credor civil, que, ao contrário do entendimento adotado no decisum atacado, tinha e tem legitimidade ativa para o pleito que aforou. - Equivocou-se o nobre Togado de primeiro grau, que sequer facultou ao acionante a possibilidade de suprir a aludida prova, porque: "Tanto o credor civil como o comerciante podem requerer a falência do devedor" (RUBENS REQUIÃO, "Curso de Direito Falimentar", 1º vol., 11ª ed., pág. 91). - Ao mencionar JORGE FERREIRA DE ANDRADE, o douto sentenciante não observou que, logo a seguir o trecho transcrito na sentença, esse doutrinador afirma que: "a falência é no entanto um processo concursal e todos os credores devem habilitar-se, sejam comerciais ou civis, conforme o art. 23 e se infere que ao devedor civil (só pode ser credor civil) seja lícito pedir a falência do devedor comerciante, sem demonstrar sua qualidade, o que é óbvio, pois é credor comum, juntando documento comprobatório do crédito" ("Manual de Falências e Concordatas", Ed. RT, 1982, pág. 40). - Aliás, a doutrina é farta neste sentido. - Para MAXIMILIANO CLÁUDIO A. FUHER, "A falência do devedor pode ser requerida: a) Pelo credor, comerciante ou não" ("Roteiro das Falências e Concordatas", Ed. RT, 6ª ed., pág. 4). - TRAJANO DE MIRANDA VALVERDE, em seus "Comentários à Lei de Falências", esclarece que "qualquer credor, pois, civil ou comercial, tem a faculdade de requerer a falência do deve dor comum, verificada uma das hipóteses legais" (vol. 1º, pág. 115). - Do mesmo modo, WALDEMAR M. FERREIRA leciona que: Beneficiários da Falência do devedor comum impontual, cabe aos credores requerê-la mercê de seu interesse econômico e moral, assim, que caracterizada e não confessada judicialmente. Tanto os credores comerciais, como aos civil. Têm estes interesse em juízo comprovando seu direito, fundado em obrigação líquida, que legitime a ação executiva" ("Instituições de Direito Comercial", 1946, 4º vol., nº 1.452, págs. 99 e 100). - E J. C. SAMPAIO DE LACERDA arremata: "Qualquer credor, civil ou comerciante, habilitado para estar em juízo, pode, individualmente, requerer a falência do devedor comerciante, desde que se verifique uma das hipóteses legais e por menor que seja a importância de seu crédito" ("Manual de Direito Falimentar", 3ª ed., pág. 59). - A jurisprudência, por sua vez, não diverge desse entendimento. - A lei não exige que o credor seja comerciante, a fim de que possa requerer a falência de seu devedor comerciante. Mas, sendo ele comerciante, impõe-se a condição de ter firma inscrita, ou contrato arquivado, no registro do comércio" (RT 290/217, 252/239, 325/298 e 400/347). - Na mesma trilha, o eg. Tribunal de Justiça de Minas Gerais proclamou: "FALÊNCIA. Requerimento por credor civil - Admissibilidade - Necessidade do registro apenas do devedor comercial. - O requisito da prova do registro comercial, por parte do requerente da falência, só se dirige aos credores comerciantes e não aos credores civis, posto que o entendimento contrário conduziria ao absurdo de deixar tais credores desarmados da via judicial à defesa de seus direitos (RT 409/406). - Há outro julgado semelhante do mesmo Tribunal na Revista Forense nº 200, pág. 169. - Nesta eg. Corte adota-se a mesma orientação: "Pode a falência ser requerida pelo credor civil, mesmo com base e m protesto de título de outro credor do comerciante, porquanto, se já houve um protesto por falta de pagamento, contra o mesmo devedor, e se essa medida está de pé, valendo como elemento caracterizador do estado de falência do comerciante, é certo que tal circunstância pode ser aproveitada pela coletividade dos demais credores" (JC 11/12, pág. 296). - E mais: "Tratando-se de credor civil, e não de credor comerciante, dispensável ao caso as exigências do art. 9º, inciso III, letra a, da Lei de Falências" (JC 23/24, pág. 131). - Por derradeiro, conclui-se que: "Tanto o credor civil como o comerciante pode requerer a falência do devedor (artigo 9º, III, do Decreto-Lei nº 7.661, de 21-6-45)" (JC 57/78). Ac. de 09-06-1992 Jurisprudência Catarinense - 1º e 2º Trim. de 1992 - Nº 70 - Pág. 317 NO MESMO SENTIDO: Ap. nº 25.040 Tr. Just. Santa Catarina - 3ª C. Relator: NELSON KONRAD, ac. de 20-10-87 e Ap. nº 13.076 - Tr. Just. Rio de Janeiro 5ª C., Relator: Des. BARBOSA MOREIRA, ac. 2-12-1990 (In "EMFOR", NºS 479 e 391). EMENTÁRIO FORENSE.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falência pode ser requerida por credor civil, exibindo documento comprobatório do seu crédito, fundado em obrigação líquida que legitime a ação execucional, não se lhe exigindo comprovar ter firma inscrita, ou contrato arquivado, no registro do comércio, posto que tal prova só se dirige ao credor comerciante.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2026-10-16T16:11:04.118Z</dcterms:created>
  <dcterms:modified xsi:type="dcterms:W3CDTF">2026-10-16T16:11:04.118Z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