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LIQUIDAÇÃO EXTRAJUDICIAL</w:t>
      </w:r>
    </w:p>
    <w:p>
      <w:r>
        <w:rPr>
          <w:i/>
          <w:iCs/>
          <w:color w:val="666666"/>
        </w:rPr>
        <w:t xml:space="preserve">CUSTAS E DEPÓSITO RECURSAL</w:t>
      </w:r>
    </w:p>
    <w:p/>
    <w:p/>
    <w:p>
      <w:r>
        <w:t xml:space="preserve">APLICAÇÃO DO PRINCÍPIO LEX LOCI EXECUTIONIS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RELAÇÃO JURÍDICA TRABALHISTA É REGIDA PELAS LEIS VIGENTES NO PAÍS DA PRESTAÇÃO DE SERVIÇO E NÃO POR AQUELAS DO LOCAL DA CONTRATAÇÃO. Resolução Administrativa nº 13 - D.J.U. de 11-7-85. EMFOR 442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2026-10-16T16:16:25.143Z</dcterms:created>
  <dcterms:modified xsi:type="dcterms:W3CDTF">2026-10-16T16:16:25.143Z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