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/>
    <w:p>
      <w:r>
        <w:t xml:space="preserve">AGRAVANTE QUE NÃO INDICOU OS ÍNDICES CORRETOS — AGRAVO IMPROVIDO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Agravo, eis que presentes todos os requisitos para sua admissibilidade. - Pretende o agravante a reforma da decisão dos Embargos à Execução, resultando na reforma dos cálculos ..., pelo argumento de que os índices utilizados na liquidação de sentença foram aleatórios, ocasionando a majoração imotivada do débito consubstanciado na sentença. Contudo, não cuidou o recorrente de apresentar aritmeticamente quais os índices e valores que entende serem os corretos. Desta forma, nos exatos termos do § 1º, do artigo 897, da Consolidação das Leis do Trabalho (CLT), não há como acolher tal alegação. Além do mais, é sempre bom salientar que os referidos cálculos foram feitos em harmonia com a tabela fornecida por este Egrégio Regional (...). - Carece de razão o agravante pela alegação de que os valores concedidos por esta à recorrida não foram somados aos salários, acarretando assim um acréscimo injustificado no título de diferença salarial. É que segundo informa o MM. Juízo "a quo", ... destes autos, "os abonos concedidos pela Municipalidade perante o período abrangido pela conta de liquidação foram computados nos parcelas constantes da coluna "VALOR PAGO" (...) , em face das folhas de pagamento autuadas." - Quanto à alegação de que o 13º salário do ano de 1991seria devido proporcionalmente (04/12), em face da incidência da prescrição qüinqüenal a partir de setembro de 1991, entendo que o direito à percepção da gratificação natalina só tornou-se exigível em dezembro/91. Assim, não se encontra tal pleito atingido pela prescrição, devendo o mesmo ser liqüidado com base no seu val or integral, e não proporcionalmente, como alega a recorrente. - Isto posto, de acordo com o d. representante da Procuradoria Regional do Trabalho, nego provimento ao Agravo de Petição e mantenho a decisão agravada em sua plenitude. Ac. de 31-11-1997 DJ 10.054 - 10/01/1998 - págs. 35 e 36 Arquivo do EMFOR, TRT/337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de ser improvido o Agravo de Petição que insurge-se contra os índices de correção utilizados na liqüidação de sentença, se não cuidou o agravante de carrear aos autos quais os índices corretos, mormente quando as alíquotas utilizadas pelo setor de cálculos são as fornecidas mensalmente pelo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2026-10-16T17:24:37.076Z</dcterms:created>
  <dcterms:modified xsi:type="dcterms:W3CDTF">2026-10-16T17:24:37.076Z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