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LIQUIDAÇÃO EXTRAJUDICIAL</w:t>
      </w:r>
    </w:p>
    <w:p>
      <w:r>
        <w:rPr>
          <w:i/>
          <w:iCs/>
          <w:color w:val="666666"/>
        </w:rPr>
        <w:t xml:space="preserve">CUSTAS E DEPÓSITO RECURSAL</w:t>
      </w:r>
    </w:p>
    <w:p/>
    <w:p/>
    <w:p>
      <w:r>
        <w:t xml:space="preserve">IMPUGNAÇÃO À CONTA — PRECLUSÃO TEMPORAL -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há que se falar em nulidade da Sentença, face à ausência de fundamentação, vez que, como bem salientou a I. Procuradoria do Trabalhdo (fl. ...), não se pode confundir objetividade com falta de fundamentação. - Entretanto, nos demais aspectos tem razão a Recorrente. - Para que ocorresse a preclusão temporal de que fala o Decisum (fl. ...), deveria ter sido a Ré intimada com a devida cominação (art. 879, § 2º, CLT), o que não ocorreu. Cabe salientar que tal dispositivo celetista fala de prerrogativa concedida ao Juiz, não se tratando de norma impositiva. Ac. de 18-04-1994 DJMG 17-06-1994 Arquivo do EMFOR, TRT/N 2.258 EMFOR 610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preclusão temporal para impugnação à conta, antes de seguro o Juízo (art. 884, § 3º, CLT), somente ocorre caso haja intimação cominatória expressa às partes (art. 879, § 2º, CLT). Trata-se da leitura gramatical, lógica e sistemática do rito inserido pela Lei 8.432/92 na CLT (§ 2º, art. 879) com o rito tradicional do velho § 3º do art. 884,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2026-10-16T18:32:05.345Z</dcterms:created>
  <dcterms:modified xsi:type="dcterms:W3CDTF">2026-10-16T18:32:05.345Z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