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COQUEIJO COSTA</w:t>
      </w:r>
    </w:p>
    <w:p/>
    <w:p>
      <w:r>
        <w:t xml:space="preserve">ISENÇÃO LEGAL — INAPLICABILIDADE - REFERÊNCIA TÃO SÓ AS MASSAS FALIDAS.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violação ao art. 895, da CLT, que sequer pertine à hipótese. Também não há contrariedade manifesta com o E-86 TST, mas sim controvérsia em relação à sua aplicação extensiva. Todavia, é de se conhecer do apelo com apoio nos arestos. - "Data Venia", entendo correta a apreciação do Eg. Regional, pois efetivamente não há similitude entre a situação jurídica criada pela decretação judicial da quebra e da intervenção do Estado para liquidação extra-judicial de que cogita a Lei 6.024/74. Sendo institutos diversos, inaplicável o E-86 da Súmula deste Colendo Tribunal, que só faz referência à massa falida e não aos casos de entidades creditícias sob intervenção e liquidação (Precedente TST-RR-7.417/86. Relator Ministro COQUEIJO COSTA. Ac. 3ª T 482/87). Proc. TST-RR-5713/88.1 - Ac. de 16.05.1989 (*) "Inocorre deserção de recurso da massa falida por falta de pagamento de custas ou de depósito do valor da condenação." ("EMFOR" , N. 370, t. RECURSO, st. DEPÓSITO DA CONDENAÇÃO) Arquivo do EMFOR - TST/2.486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similitude entre a situação jurídica criada pela decretação judicial da quebra e a da intervenção do Estado para liquidação extra-judicial de que cogita a Lei nº 6.024/74. Sendo institutos diversos inaplicável o E-86 (*) da Súmula deste Colendo Tribunal, que só faz referência à massa falida e não aos casos de entidades creditícias sob intervenção e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2026-10-16T17:24:56.904Z</dcterms:created>
  <dcterms:modified xsi:type="dcterms:W3CDTF">2026-10-16T17:24:56.904Z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