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r>
        <w:rPr>
          <w:b/>
          <w:bCs/>
        </w:rPr>
        <w:t xml:space="preserve">Recurso: </w:t>
      </w:r>
      <w:r>
        <w:t xml:space="preserve">agravo de instrumento .</w:t>
      </w:r>
    </w:p>
    <w:p/>
    <w:p>
      <w:r>
        <w:t xml:space="preserve">02. TÍTULO II — Dos efeitos jurídicos da sentença declaratória da falência.</w:t>
      </w:r>
    </w:p>
    <w:p/>
    <w:p>
      <w:pPr>
        <w:pStyle w:val="Heading2"/>
      </w:pPr>
      <w:r>
        <w:rPr>
          <w:b/>
          <w:bCs/>
        </w:rPr>
        <w:t xml:space="preserve">Ementa</w:t>
      </w:r>
    </w:p>
    <w:p>
      <w:r>
        <w:t xml:space="preserve">TÍTULO II Dos efeitos jurídicos da sentença declaratória da falência SEÇÃO PRIMEIRA Dos efeitos quanto aos direitos dos credores Art. 23. Ao juízo da falência devem concorrer todos os credores do devedor comum, comerciais ou civis, alegando e provando os seus direitos. Parágrafo único. Não podem ser reclamados na falência: I - as obrigações a título gratuito e as prestações alimentícias; II - as despesas que os credores individualmente fizerem para tomar parte na falência, salvo custas judiciais em litígio com a massa; III - as penas pecuniárias por infração das leis penais e administrativas. Art. 24. As ações ou execuções individuais dos credores, sôbre direitos e interêsses relativos à massa falida, inclusive as dos credores particulares de sócio solidário da sociedade falida, ficam suspensas, desde que seja declarada a falência até o seu encerramento. § 1° Achando-se os bens já em praça, com dia definitivo para arrematação, fixado por editais, far-se-á esta, entrando o produto para a massa. Se, porem, os bens já tiverem sido arrematados ao tempo da declaração da falência, sòmente entrará para a massa a sobra, depois de pago o exeqüente. § 2° Não se compreendem nas disposições dêste artigo, e terão prosseguimento com o síndico, as ações e execuções que, antes da falência, hajam iniciado: I - os credores por títulos não sujeitos a rateio; II - os que demandarem quantia ilíquida, coisa certa, prestação ou abstenção de fato. § 3° Aos credores referidos no n° II fica assegurado o direito de pedir a reserva de que trata o art. 130, e, uma vez tornado líquido o seu direito, serão, se fôr o caso, incluídos na falência, na classe que lhes fôr própria. Art. 25. A falência produz o vencimento antecipado de tôdas as dívidas do falido e do sócio solidário da sociedade falida, com o abatimento dos juros legais, se outra taxa não tiver sido estipulada. § 1° As debêntures sã o admitidas na falência pelo valor do tipo de emissão. § 2° Não têm vencimento antecipado as obrigações sujeitas a condição suspensiva, as quais, não obstante, entram na falência, sendo o pagamento diferido até que se verifique a condição. § 3° As cláusulas penais dos contratos unilaterais não serão atendidas, se as obrigações nêles estipuladas se venceram em virtude da falência. Art. 26. Contra a massa não correm juros, ainda que estipulados forem, se o ativo apurado não bastar para o pagamento do principal. Parágrafo único. Excetuam-se desta disposição os juros das debêntures e dos créditos com garantia real, mas por êles responde, exclusivamente, o produto dos bens que constituem a garantia. Art. 27. O credor de obrigação solidária concorrerá pela totalidade do seu crédito às massas dos respectivos coobrigados falidos, até ser integralmente pago. § 1° Os rateios distribuídos serão anotados no respectivo título pelos síndicos das massas, e o credor comunicará às outras o que de alguma recebeu. § 2° O credor que, indevida e maliciosamente, receber alguma quantia dos coobrigados solventes ou das massas dos coobrigados falidos, fica obrigado a restituir em dôbro, além de pagar perdas e danos. Art. 28. As massas dos coobrigados falidos não têm ação regressiva umas contra as outras. Se, porém, o credor ficar integralmente pago por uma ou por diversas massas coobrigadas, as que houverem pago terão direito regressivo contra as demais, em proporção à parte que pagaram e àquela que cada uma tinha a seu cargo. Parágrafo único. Se os dividendos que couberem ao credor em tôdas as massas coobrigadas, excederem da importância total do crédito, o excesso entrará para as massas na proporção acima referida. Se os coobrigados eram garantias uns dos outros, aquêle excesso pertencerá, conforme a ordem das obrigações, às massas dos coobrigados que tiverem o direito de ser garantidas. Art. 29. Os co -devedores solventes e os fiadores do falido e do sócio solidário da sociedade falida, podem apresentar-se na falência por tudo quanto houverem pago e também pelo que mais tarde devam pagar, se o credor não pedir a sua inclusão na falência, observados, em qualquer caso, os preceitos legais que regem as obrigações solidárias. Art. 30. Aos credores que tenham apresentado a declaração de crédito de que trata o art. 82, ficam garantidos os direitos seguintes, desde o momento da declaração da falência: I - intervir, como assistentes, em quaisquer ações ou incidentes em que a massa seja parte ou interessada; II - fiscalizar a administração da massa, requerer e promover no processo da falên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2026-07-28T04:21:03.111Z</dcterms:created>
  <dcterms:modified xsi:type="dcterms:W3CDTF">2026-07-28T04:21:03.111Z</dcterms:modified>
</cp:coreProperties>
</file>

<file path=docProps/custom.xml><?xml version="1.0" encoding="utf-8"?>
<Properties xmlns="http://schemas.openxmlformats.org/officeDocument/2006/custom-properties" xmlns:vt="http://schemas.openxmlformats.org/officeDocument/2006/docPropsVTypes"/>
</file>