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LIQUIDAÇÃO EXTRAJUDICIAL</w:t>
      </w:r>
    </w:p>
    <w:p>
      <w:r>
        <w:rPr>
          <w:i/>
          <w:iCs/>
          <w:color w:val="666666"/>
        </w:rPr>
        <w:t xml:space="preserve">JUROS E CORREÇÃO MONETÁRIA</w:t>
      </w:r>
    </w:p>
    <w:p/>
    <w:p>
      <w:r>
        <w:rPr>
          <w:b/>
          <w:bCs/>
        </w:rPr>
        <w:t xml:space="preserve">Recurso: </w:t>
      </w:r>
      <w:r>
        <w:t xml:space="preserve">MS -0054/88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É CABÍVEL CONTRA DESPACHO QUE ADMITE A REVISTA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admissibilidade do Recurso de Revista, de competência dos Tribunais Regionais, é de cognição incompleta, como nos ensina o Mestre COQUEIJO COSTA. - O Regional apenas examina os pressupostos de admissibilidade do Recurso de Revista e o encaminha para apreciação do Juízo "ad quem". A este, o Tribunal Superior do Trabalho, cabe avaliar o apelo, não conhecendo do recurso que pareceu admissível ao Tribunal "a quo", ou julgando o seu mérito, introduzir-lhe seus jurídicos fundamentos. - Não há lesão de direito líquido e certo de que fala a Lei 1.533/51 num despacho positivo de admissibilidade da Revista. - Mandado Negado. Proc. TST-RO-MS-0054/88, Ac. de 31-05-1989 Arquivo do EMFOR - TST/2.596 EMFOR 499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lesão de direito líquido e certo de que fala a Lei 1.533/51 num despacho positivo de admissibilidade da Revista.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2026-10-16T16:17:32.393Z</dcterms:created>
  <dcterms:modified xsi:type="dcterms:W3CDTF">2026-10-16T16:17:32.393Z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