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 -106.738-1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>
      <w:r>
        <w:rPr>
          <w:b/>
          <w:bCs/>
        </w:rPr>
        <w:t xml:space="preserve">Julgado em: </w:t>
      </w:r>
      <w:r>
        <w:t xml:space="preserve">22/10/1986</w:t>
      </w:r>
    </w:p>
    <w:p/>
    <w:p>
      <w:r>
        <w:t xml:space="preserve">QUANDO SE ADMITE A IMPETRAÇÃO SIMULTÂNEA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5º da Lei nº 1.533/51 dispõe que não caberá Mandado de Segurança quando se tratar - inciso II - "de despacho ou decisão judicial, quando haja recurso previsto nas leis processuais ou possa ser modificado por via de correição". - Contudo, conforme doutrina CALMON DE PASSOS, "a primeira condição para a admissibilidade do mandado contra ato judicial é a inexistência de Recurso Ordinário com efeito suspensivo". A mesma posição é adotada por HELY LOPES MEIRELLES quando afirma "o Recurso ou Correição que tiver efeito suspensivo ao ato judicial impugnado é que exclui o mandado de segurança, pois a suspensividade do Recurso pendente elimina a lesão". - Ambos os autores são citados por COQUEIJO COSTA, in "Mandado de Segurança e Controle Constitucional", tal LTR, 3ª ed. 1986, págs. 54/55, que sustenta ser entendimento extensivo às causas trabalhistas, ressaltando "atente-se para que, na Justiça do trabalho, o efeito suspensivo nem sempre é tarifado na lei: o juízo de admissibilidade pode imprimi-lo na Revista e nos agravos (de instrumento e petição). Dado o efeito, a consequência é a mesma para o não conhecimento do mandado" (op. cit. pág. 54). - Ora, contra a Decisão proferida no julgamento de Embargos à Execução, cabe o Agravo de Petição. Tanto é assim que a Impetrante fez uso de tal meio processual, tempestivamente, evitando a formação da coisa julgada. Como à modalidade recursal não foi imprimido efeito suspensivo, cabível é a interposição simultânea do Mandado de Segurança, para conferir-lhe a suspensividade. - O STF vem firmando sua jurisprudência no sentido de que deve ser interposto o recurso sem efeito suspensiv o, sob pena dos rigores da Súmula nº 268 (*), isto é, o mandado torna-se incabível ante o trânsito em julgado da decisão judicial atacada pelo mandamus (RE-106.738-1 - MT - 1ª Turma, Rel. Min. RAFAEL MAYER, DJU de 1-8-1986, pág. 12.892). - Este entendimento encontra precedente desta Corte no Ac. 2.582/86, referente ao RO-MS-832/85, julgado em 23-10-86, relator Min. MARCO AURÉLIO MENDES DE FARIAS MELLO. Proc. TST-RO-MS-176/84, Ac. de 13-09-1989 Arquivo do EMFOR - TST/2.698 (*) "A demanda trabalhista, ainda que arquivada, interrompe a prescrição." ("EMFOR", Nº 478, t. PRESCRIÇÃO, st. INTERRUPÇÃO). EMFOR 544 EMENTA: - Não deve ser admitido mandamus quando o ato questionado tem apoio em faculdade do Juízo em praticá-lo, prevista em lei. Como faculdade, seu exercício está subordinado ao poder discricionário dele e não o exercitar ele não importa em criar direito às partes ou terceiros. A segurança se concede quando quem a requer tem direito a exigir a prática de determinado ato, ou seja, o direito é líquido e certo, mas não pode compelir alguém a praticar ato que a lei diz não estar obrigado. RESUMO DO ACÓRDÃO: - A Exmª Juíza Relatora admitia o presente mandamus, por entender inexistir recurso próprio com efeito suspensivo contra o ato questionado, mas dela divirjo e não o admito, pelas razões que seguem. - O impetrante aduz que apresentou embargos de declaração e que o MM. Juízo a quo não deu vista dos mesmos à parte contrária apesar dele, impetrante, ter solicitado, e que tal ato violara a garantia constitucional do contraditório e da ampla defesa de seus direitos. - A minha divergência se fulcra em não vislumbrar no caso vertente direito líquido e certo do impetrante a ser amparado, pois inexiste disposição legal que determine que o Juiz deverá dar vista à parte adversa da interposição de embargos de declaração. A previsão legal é no sentido de que poderá o Juiz fazê-lo. Logo, enquadrando-se a faculdade dentro do poder discricionário do Juiz, ele a exercita ou não, e o não-exercício não importa em criar direito às partes. - Ademais não há a certeza do deferimento do efeito modificativo e, mesmo se fosse dado, prejuízo algum teria a parte, visto que a interposição de embargos de declaração suspende o prazo para outros recursos e mesmo no caso de ter a parte contrária já interposto recurso da decisão embargada, a partir da publicação do v. acórdão que apreciou os embargos, poderá ela complementá-lo. - A título de esclarecimento trago à colação o seguinte excerto do Acórdão nº 1563/94, de minha lavra, cuja razão de decidir é quase a mesma dos presentes autos: "MANDADO DE SEGURANÇA - ATO JUDICIAL - CABIMENTO - Como é curial, somente o exercício irregular da função jurisdicional, contraveniente ao ordenamento jurídico, manifestamente ilegal, dá ensejo ao mandamus como, verbi gratia, quando o juiz não fundame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impetrante fez uso deste meio processual, agravo de petição evitando a formação da coisa julgada. Como à modalidade recursal não foi imprimido efeito suspensivo, cabível é a interposição simultânea do Mandado de Segurança, para conferir-lhe a suspensividade.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2026-10-16T16:20:59.670Z</dcterms:created>
  <dcterms:modified xsi:type="dcterms:W3CDTF">2026-10-16T16:20:59.670Z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