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/>
    <w:p>
      <w:r>
        <w:t xml:space="preserve">VEDAÇÃO EXPRESSA EM INSTRUMENTO PÚBLICO — PREVALÊNCIA DA VONTADE DAS PARTES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instrumento de mandato é um ato jurídico da modalidade contrato, cujo negócio tem disciplinamento próprio no Código Civil Brasileiro, a partir do art. 1.288, sendo certo que o requisito ou elemento essencial à validade desta modalidade de contrato é a fidúcia da qual o mesmo se reveste. - Ora, se no instrumento público de procuração o Reclamado fez questão de explicitar que era vedado aos mandatários substabelecerem, ainda que com reserva, há que prevalecer a vontade do mandante, naquele negócio jurídico. - A vista do exposto, acolho a arguição proposta nas contra-razões e não conheço do recurso, por inexistente. Ac. de 31-08-1994 Revista de Direito do Trabalho 01 - Reg. nº 11/95 - Pág. 83 EMFOR 564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instrumento de mandato é um ato jurídico da modalidade contrato, cujo negócio tem disciplinamento próprio no Código Civil Brasileiro, a partir do art. 1.288, sendo certo que o requisito ou elemento essencial à validade desta modalidade de contrato é a fidúcia da qual o mesmo se reveste. - Ora, se no instrumento público de procuração, o reclamado fez questão de explicitar que era vedado aos mandatários substabelecerem, sequer com reserva, há que prevalecer a vontade do mandante naquele negócio jurídico.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2026-07-28T04:27:40.762Z</dcterms:created>
  <dcterms:modified xsi:type="dcterms:W3CDTF">2026-07-28T04:27:40.762Z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