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Recurso: </w:t>
      </w:r>
      <w:r>
        <w:t xml:space="preserve">RE 41.200</w:t>
      </w:r>
    </w:p>
    <w:p/>
    <w:p>
      <w:r>
        <w:t xml:space="preserve">CONDICIONAMENTO A INQUÉRITO EM QUE SE APURE FALTA GRAVE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com representação sindical só pode ser despedido mediante inquérito em que se apure falta grave. Referência: C LT, art. 543; Convenção 98/49 (Genebra) ERE 41.200, de 23.01.61; ERE 50.887, de 26.08.63 (D.J. de 31.10.63, p. 1.088); ERE 48.643, de 10.05.63 (D.J. de 11.07.63, p. 523); ERE 47.407, de 09.11.62; RE 47.222, de 25.06.63; RE 45.612, de 16.01.62 (D.J. de 16.11.62, p. 699); RE 49.934, de 10.07.62 (D.J. de 13.12.62, p. 844). Aprovada em Sessão de 13-12-1963 - pág. 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2026-07-28T03:10:56.291Z</dcterms:created>
  <dcterms:modified xsi:type="dcterms:W3CDTF">2026-07-28T03:10:56.291Z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