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RECONHECIMENTO DE FIRMA</w:t>
      </w:r>
    </w:p>
    <w:p/>
    <w:p>
      <w:r>
        <w:rPr>
          <w:b/>
          <w:bCs/>
        </w:rPr>
        <w:t xml:space="preserve">Recurso: </w:t>
      </w:r>
      <w:r>
        <w:t xml:space="preserve">agravo regimental .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21/10/1985</w:t>
      </w:r>
    </w:p>
    <w:p/>
    <w:p>
      <w:r>
        <w:t xml:space="preserve">HIPÓTESE ÚNICA EM QUE SE CONFIGURA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Para se configurar o mandato tácito, na Justiça do Trabalho, é necessário o comparecimento da parte à Audiência de Julgamento, devidamente acompanhada de advogado, devendo constar tal fato da ata respectiva. A ausência deste pressuposto e a inexistência de mandato expresso tornam inexistente a representação processual e nenhuns os atos praticados. - Não se conhece o agravo regimental. Proc. TST-AG-RR-6.383/84, Julgado em 22-10-1985 Arquivo do EMFOR, TST/1.871 EMFOR 450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Justiça do Trabalho, só se configura o mandato tácito, conforme entendimento jurisprudêncial, quando a parte comparece à audiência apresentando o profissional habilitado como o seu representante processual.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2026-07-28T00:34:08.483Z</dcterms:created>
  <dcterms:modified xsi:type="dcterms:W3CDTF">2026-07-28T00:34:08.483Z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