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>
      <w:r>
        <w:rPr>
          <w:b/>
          <w:bCs/>
        </w:rPr>
        <w:t xml:space="preserve">Recurso: </w:t>
      </w:r>
      <w:r>
        <w:t xml:space="preserve">RE 50.374</w:t>
      </w:r>
    </w:p>
    <w:p/>
    <w:p>
      <w:r>
        <w:t xml:space="preserve">SE LHE É APLICÁVEL O DISPOSITIVO CONSOLIDADO RELATIVO AOS ARTISTAS EM GERAL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Músico integrante de orquestra da empresa, com atuação permanente e vínculo de subordinação, está sujeito à legislação geral do trabalho, e não à especial dos artistas. Referência: CLT art. 507, parágrafo único; Lei nº 101, de 17.09.47; Decreto nº 5.492, de 16.07.28; Decreto nº 18.527, de 10.12.28; Decreto nº 20.493, de 24.01.46 Ag 26.730, de 08.05.62. RE 50.374, de 25.09.52 (D.J. de 30.05.63, p. 355); RE 50.893, de 05.11.62 (D.J. de 03.01.63, p. 59); RE 53.897, de 10.09.63. Aprovada em Sessão de 13-12-1963 - pág. 139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2026-07-28T01:55:57.599Z</dcterms:created>
  <dcterms:modified xsi:type="dcterms:W3CDTF">2026-07-28T01:55:57.599Z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